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540" w:hanging="540"/>
        <w:jc w:val="center"/>
        <w:rPr>
          <w:rFonts w:ascii="宋体" w:hAnsi="宋体"/>
          <w:sz w:val="36"/>
          <w:szCs w:val="36"/>
        </w:rPr>
      </w:pPr>
      <w:r>
        <w:rPr>
          <w:rFonts w:hint="eastAsia" w:ascii="宋体" w:hAnsi="宋体"/>
          <w:sz w:val="36"/>
          <w:szCs w:val="36"/>
        </w:rPr>
        <w:t xml:space="preserve">   新邵县酿溪镇人民政府</w:t>
      </w:r>
    </w:p>
    <w:p>
      <w:pPr>
        <w:spacing w:line="600" w:lineRule="exact"/>
        <w:ind w:left="540" w:hanging="540"/>
        <w:jc w:val="center"/>
        <w:rPr>
          <w:rFonts w:ascii="宋体" w:hAnsi="宋体"/>
          <w:sz w:val="36"/>
          <w:szCs w:val="36"/>
        </w:rPr>
      </w:pPr>
      <w:r>
        <w:rPr>
          <w:rFonts w:ascii="宋体" w:hAnsi="宋体"/>
          <w:sz w:val="36"/>
          <w:szCs w:val="36"/>
        </w:rPr>
        <w:t>20</w:t>
      </w:r>
      <w:r>
        <w:rPr>
          <w:rFonts w:hint="eastAsia" w:ascii="宋体" w:hAnsi="宋体"/>
          <w:sz w:val="36"/>
          <w:szCs w:val="36"/>
        </w:rPr>
        <w:t>20</w:t>
      </w:r>
      <w:r>
        <w:rPr>
          <w:rFonts w:ascii="宋体" w:hAnsi="宋体"/>
          <w:sz w:val="36"/>
          <w:szCs w:val="36"/>
        </w:rPr>
        <w:t>年度</w:t>
      </w:r>
      <w:r>
        <w:rPr>
          <w:rFonts w:hint="eastAsia" w:ascii="宋体" w:hAnsi="宋体"/>
          <w:sz w:val="36"/>
          <w:szCs w:val="36"/>
        </w:rPr>
        <w:t>部门整体支出绩效自评报告</w:t>
      </w:r>
    </w:p>
    <w:p>
      <w:pPr>
        <w:spacing w:line="600" w:lineRule="exact"/>
        <w:ind w:left="540" w:hanging="540"/>
        <w:jc w:val="center"/>
        <w:rPr>
          <w:rFonts w:ascii="宋体" w:hAnsi="宋体"/>
          <w:sz w:val="36"/>
          <w:szCs w:val="36"/>
        </w:rPr>
      </w:pPr>
    </w:p>
    <w:p>
      <w:pPr>
        <w:adjustRightInd w:val="0"/>
        <w:snapToGrid w:val="0"/>
        <w:spacing w:line="480" w:lineRule="auto"/>
        <w:ind w:left="141" w:hanging="140" w:hangingChars="44"/>
        <w:outlineLvl w:val="0"/>
        <w:rPr>
          <w:rFonts w:ascii="宋体" w:hAnsi="宋体"/>
          <w:sz w:val="32"/>
          <w:szCs w:val="32"/>
        </w:rPr>
      </w:pPr>
      <w:r>
        <w:rPr>
          <w:rFonts w:ascii="宋体" w:hAnsi="宋体"/>
          <w:sz w:val="32"/>
          <w:szCs w:val="32"/>
        </w:rPr>
        <w:t>一、</w:t>
      </w:r>
      <w:r>
        <w:rPr>
          <w:rFonts w:hint="eastAsia" w:ascii="宋体" w:hAnsi="宋体"/>
          <w:sz w:val="32"/>
          <w:szCs w:val="32"/>
        </w:rPr>
        <w:t>部门</w:t>
      </w:r>
      <w:r>
        <w:rPr>
          <w:rFonts w:ascii="宋体" w:hAnsi="宋体"/>
          <w:sz w:val="32"/>
          <w:szCs w:val="32"/>
        </w:rPr>
        <w:t>概况</w:t>
      </w:r>
    </w:p>
    <w:p>
      <w:pPr>
        <w:adjustRightInd w:val="0"/>
        <w:snapToGrid w:val="0"/>
        <w:spacing w:line="480" w:lineRule="auto"/>
        <w:ind w:left="1" w:hanging="1"/>
        <w:rPr>
          <w:rFonts w:ascii="宋体" w:hAnsi="宋体"/>
          <w:sz w:val="24"/>
          <w:szCs w:val="24"/>
        </w:rPr>
      </w:pPr>
      <w:r>
        <w:rPr>
          <w:rFonts w:hint="eastAsia" w:ascii="宋体" w:hAnsi="宋体"/>
          <w:sz w:val="24"/>
          <w:szCs w:val="24"/>
        </w:rPr>
        <w:t>（一）基本情况</w:t>
      </w:r>
    </w:p>
    <w:p>
      <w:pPr>
        <w:adjustRightInd w:val="0"/>
        <w:snapToGrid w:val="0"/>
        <w:spacing w:line="480" w:lineRule="auto"/>
        <w:ind w:left="1" w:firstLine="480" w:firstLineChars="200"/>
        <w:rPr>
          <w:rFonts w:ascii="宋体" w:hAnsi="宋体"/>
          <w:sz w:val="24"/>
          <w:szCs w:val="24"/>
        </w:rPr>
      </w:pPr>
      <w:r>
        <w:rPr>
          <w:rFonts w:ascii="宋体" w:hAnsi="宋体"/>
          <w:sz w:val="24"/>
          <w:szCs w:val="24"/>
        </w:rPr>
        <w:t>根据编委核定，2020年我镇设部门11个：党政综合办公室、基层党建办公室、经济发展办公室（加挂农业农村工作办公室牌子）、社会事务办公室（加挂行政审批服务办公室牌子）、社会治安和应急管理办公室、自然资源和生态环境办公室、社会事务综合服务中心、农业综合服务中心、政务服务中心、综合行政执法大队、退役军人服务站。</w:t>
      </w:r>
      <w:r>
        <w:rPr>
          <w:rFonts w:ascii="宋体"/>
          <w:sz w:val="24"/>
          <w:szCs w:val="24"/>
        </w:rPr>
        <w:t> </w:t>
      </w:r>
      <w:r>
        <w:rPr>
          <w:rFonts w:ascii="宋体" w:hAnsi="宋体"/>
          <w:sz w:val="24"/>
          <w:szCs w:val="24"/>
        </w:rPr>
        <w:t>2020年年末实有人数229人（含退休人员），其中在职人员174人。</w:t>
      </w:r>
    </w:p>
    <w:p>
      <w:pPr>
        <w:adjustRightInd w:val="0"/>
        <w:snapToGrid w:val="0"/>
        <w:spacing w:line="480" w:lineRule="auto"/>
        <w:ind w:left="360" w:hanging="360"/>
        <w:rPr>
          <w:rFonts w:ascii="宋体" w:hAnsi="宋体"/>
          <w:sz w:val="24"/>
          <w:szCs w:val="24"/>
        </w:rPr>
      </w:pPr>
      <w:r>
        <w:rPr>
          <w:rFonts w:hint="eastAsia" w:ascii="宋体" w:hAnsi="宋体"/>
          <w:sz w:val="24"/>
          <w:szCs w:val="24"/>
        </w:rPr>
        <w:t>（二）、主要工作职责</w:t>
      </w:r>
    </w:p>
    <w:p>
      <w:pPr>
        <w:widowControl/>
        <w:shd w:val="clear" w:color="auto" w:fill="FFFFFF"/>
        <w:spacing w:before="100" w:beforeAutospacing="1" w:after="100" w:afterAutospacing="1" w:line="480" w:lineRule="auto"/>
        <w:ind w:firstLine="480"/>
        <w:jc w:val="left"/>
        <w:rPr>
          <w:rFonts w:ascii="宋体" w:hAnsi="宋体" w:cs="宋体"/>
          <w:kern w:val="0"/>
          <w:sz w:val="24"/>
          <w:szCs w:val="24"/>
        </w:rPr>
      </w:pPr>
      <w:r>
        <w:rPr>
          <w:rFonts w:ascii="宋体" w:hAnsi="宋体" w:cs="宋体"/>
          <w:kern w:val="0"/>
          <w:sz w:val="24"/>
          <w:szCs w:val="24"/>
        </w:rPr>
        <w:t>乡党政机构具有党委和政府两种职能，党委领导政府工作。主要是政治思想和方针政策的领导，干部的选拔，考核和监督，经济和行政工作中重大问题的决策。乡政府是基层国家行政机关，行使本行政区的行政职能。</w:t>
      </w:r>
    </w:p>
    <w:p>
      <w:pPr>
        <w:widowControl/>
        <w:shd w:val="clear" w:color="auto" w:fill="FFFFFF"/>
        <w:spacing w:before="100" w:beforeAutospacing="1" w:after="100" w:afterAutospacing="1" w:line="480" w:lineRule="auto"/>
        <w:ind w:firstLine="480"/>
        <w:jc w:val="left"/>
        <w:rPr>
          <w:rFonts w:ascii="宋体" w:hAnsi="宋体" w:cs="宋体"/>
          <w:kern w:val="0"/>
          <w:sz w:val="24"/>
          <w:szCs w:val="24"/>
        </w:rPr>
      </w:pPr>
      <w:r>
        <w:rPr>
          <w:rFonts w:ascii="宋体" w:hAnsi="宋体" w:cs="宋体"/>
          <w:kern w:val="0"/>
          <w:sz w:val="24"/>
          <w:szCs w:val="24"/>
        </w:rPr>
        <w:t>1、党委工作职责：</w:t>
      </w:r>
    </w:p>
    <w:p>
      <w:pPr>
        <w:widowControl/>
        <w:shd w:val="clear" w:color="auto" w:fill="FFFFFF"/>
        <w:spacing w:before="100" w:beforeAutospacing="1" w:after="100" w:afterAutospacing="1" w:line="480" w:lineRule="auto"/>
        <w:ind w:firstLine="480"/>
        <w:jc w:val="left"/>
        <w:rPr>
          <w:rFonts w:ascii="宋体" w:hAnsi="宋体" w:cs="宋体"/>
          <w:kern w:val="0"/>
          <w:sz w:val="24"/>
          <w:szCs w:val="24"/>
        </w:rPr>
      </w:pPr>
      <w:r>
        <w:rPr>
          <w:rFonts w:ascii="宋体" w:hAnsi="宋体" w:cs="宋体"/>
          <w:kern w:val="0"/>
          <w:sz w:val="24"/>
          <w:szCs w:val="24"/>
        </w:rPr>
        <w:t>（1）保证党的路线、方针、政策的坚决贯彻执行。</w:t>
      </w:r>
    </w:p>
    <w:p>
      <w:pPr>
        <w:widowControl/>
        <w:shd w:val="clear" w:color="auto" w:fill="FFFFFF"/>
        <w:spacing w:before="100" w:beforeAutospacing="1" w:after="100" w:afterAutospacing="1" w:line="480" w:lineRule="auto"/>
        <w:ind w:firstLine="480"/>
        <w:jc w:val="left"/>
        <w:rPr>
          <w:rFonts w:ascii="宋体" w:hAnsi="宋体" w:cs="宋体"/>
          <w:kern w:val="0"/>
          <w:sz w:val="24"/>
          <w:szCs w:val="24"/>
        </w:rPr>
      </w:pPr>
      <w:r>
        <w:rPr>
          <w:rFonts w:ascii="宋体" w:hAnsi="宋体" w:cs="宋体"/>
          <w:kern w:val="0"/>
          <w:sz w:val="24"/>
          <w:szCs w:val="24"/>
        </w:rPr>
        <w:t>（2）保证监督职能。</w:t>
      </w:r>
    </w:p>
    <w:p>
      <w:pPr>
        <w:widowControl/>
        <w:shd w:val="clear" w:color="auto" w:fill="FFFFFF"/>
        <w:spacing w:before="100" w:beforeAutospacing="1" w:after="100" w:afterAutospacing="1" w:line="480" w:lineRule="auto"/>
        <w:ind w:firstLine="480"/>
        <w:jc w:val="left"/>
        <w:rPr>
          <w:rFonts w:ascii="宋体" w:hAnsi="宋体" w:cs="宋体"/>
          <w:kern w:val="0"/>
          <w:sz w:val="24"/>
          <w:szCs w:val="24"/>
        </w:rPr>
      </w:pPr>
      <w:r>
        <w:rPr>
          <w:rFonts w:ascii="宋体" w:hAnsi="宋体" w:cs="宋体"/>
          <w:kern w:val="0"/>
          <w:sz w:val="24"/>
          <w:szCs w:val="24"/>
        </w:rPr>
        <w:t>（3）教育和管理职能。</w:t>
      </w:r>
    </w:p>
    <w:p>
      <w:pPr>
        <w:widowControl/>
        <w:shd w:val="clear" w:color="auto" w:fill="FFFFFF"/>
        <w:spacing w:before="100" w:beforeAutospacing="1" w:after="100" w:afterAutospacing="1" w:line="480" w:lineRule="auto"/>
        <w:ind w:firstLine="480"/>
        <w:jc w:val="left"/>
        <w:rPr>
          <w:rFonts w:ascii="宋体" w:hAnsi="宋体" w:cs="宋体"/>
          <w:kern w:val="0"/>
          <w:sz w:val="24"/>
          <w:szCs w:val="24"/>
        </w:rPr>
      </w:pPr>
      <w:r>
        <w:rPr>
          <w:rFonts w:ascii="宋体" w:hAnsi="宋体" w:cs="宋体"/>
          <w:kern w:val="0"/>
          <w:sz w:val="24"/>
          <w:szCs w:val="24"/>
        </w:rPr>
        <w:t>（4）服从和服务于经济建设的职能。</w:t>
      </w:r>
    </w:p>
    <w:p>
      <w:pPr>
        <w:widowControl/>
        <w:shd w:val="clear" w:color="auto" w:fill="FFFFFF"/>
        <w:spacing w:before="100" w:beforeAutospacing="1" w:after="100" w:afterAutospacing="1" w:line="480" w:lineRule="auto"/>
        <w:ind w:firstLine="480"/>
        <w:jc w:val="left"/>
        <w:rPr>
          <w:rFonts w:ascii="宋体" w:hAnsi="宋体" w:cs="宋体"/>
          <w:kern w:val="0"/>
          <w:sz w:val="24"/>
          <w:szCs w:val="24"/>
        </w:rPr>
      </w:pPr>
      <w:r>
        <w:rPr>
          <w:rFonts w:ascii="宋体" w:hAnsi="宋体" w:cs="宋体"/>
          <w:kern w:val="0"/>
          <w:sz w:val="24"/>
          <w:szCs w:val="24"/>
        </w:rPr>
        <w:t>（5）负责抓好本乡党建工作、群团工作、精神文明建设工作、新闻宣传工作。</w:t>
      </w:r>
    </w:p>
    <w:p>
      <w:pPr>
        <w:widowControl/>
        <w:shd w:val="clear" w:color="auto" w:fill="FFFFFF"/>
        <w:spacing w:before="100" w:beforeAutospacing="1" w:after="100" w:afterAutospacing="1" w:line="480" w:lineRule="auto"/>
        <w:ind w:firstLine="480"/>
        <w:jc w:val="left"/>
        <w:rPr>
          <w:rFonts w:ascii="宋体" w:hAnsi="宋体" w:cs="宋体"/>
          <w:kern w:val="0"/>
          <w:sz w:val="24"/>
          <w:szCs w:val="24"/>
        </w:rPr>
      </w:pPr>
      <w:r>
        <w:rPr>
          <w:rFonts w:ascii="宋体" w:hAnsi="宋体" w:cs="宋体"/>
          <w:kern w:val="0"/>
          <w:sz w:val="24"/>
          <w:szCs w:val="24"/>
        </w:rPr>
        <w:t>（6）完成市委、市政府交给的其他工作任务。</w:t>
      </w:r>
    </w:p>
    <w:p>
      <w:pPr>
        <w:widowControl/>
        <w:shd w:val="clear" w:color="auto" w:fill="FFFFFF"/>
        <w:spacing w:before="100" w:beforeAutospacing="1" w:after="100" w:afterAutospacing="1" w:line="480" w:lineRule="auto"/>
        <w:ind w:firstLine="480"/>
        <w:jc w:val="left"/>
        <w:rPr>
          <w:rFonts w:ascii="宋体" w:hAnsi="宋体" w:cs="宋体"/>
          <w:kern w:val="0"/>
          <w:sz w:val="24"/>
          <w:szCs w:val="24"/>
        </w:rPr>
      </w:pPr>
      <w:r>
        <w:rPr>
          <w:rFonts w:ascii="宋体" w:hAnsi="宋体" w:cs="宋体"/>
          <w:kern w:val="0"/>
          <w:sz w:val="24"/>
          <w:szCs w:val="24"/>
        </w:rPr>
        <w:t>2、政府职能</w:t>
      </w:r>
    </w:p>
    <w:p>
      <w:pPr>
        <w:widowControl/>
        <w:shd w:val="clear" w:color="auto" w:fill="FFFFFF"/>
        <w:spacing w:before="100" w:beforeAutospacing="1" w:after="100" w:afterAutospacing="1" w:line="480" w:lineRule="auto"/>
        <w:ind w:firstLine="480"/>
        <w:jc w:val="left"/>
        <w:rPr>
          <w:rFonts w:ascii="宋体" w:hAnsi="宋体" w:cs="宋体"/>
          <w:kern w:val="0"/>
          <w:sz w:val="24"/>
          <w:szCs w:val="24"/>
        </w:rPr>
      </w:pPr>
      <w:r>
        <w:rPr>
          <w:rFonts w:ascii="宋体" w:hAnsi="宋体" w:cs="宋体"/>
          <w:kern w:val="0"/>
          <w:sz w:val="24"/>
          <w:szCs w:val="24"/>
        </w:rPr>
        <w:t>（1）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pPr>
        <w:widowControl/>
        <w:shd w:val="clear" w:color="auto" w:fill="FFFFFF"/>
        <w:spacing w:before="100" w:beforeAutospacing="1" w:after="100" w:afterAutospacing="1" w:line="480" w:lineRule="auto"/>
        <w:ind w:firstLine="480"/>
        <w:jc w:val="left"/>
        <w:rPr>
          <w:rFonts w:ascii="宋体" w:hAnsi="宋体" w:cs="宋体"/>
          <w:kern w:val="0"/>
          <w:sz w:val="24"/>
          <w:szCs w:val="24"/>
        </w:rPr>
      </w:pPr>
      <w:r>
        <w:rPr>
          <w:rFonts w:ascii="宋体" w:hAnsi="宋体" w:cs="宋体"/>
          <w:kern w:val="0"/>
          <w:sz w:val="24"/>
          <w:szCs w:val="24"/>
        </w:rPr>
        <w:t>（2）制定并组织实施村镇建设规划，部署重点工程建设，地方道路建设及公共设施，水利设施的管理，负责土地、林木、水等自然资源和生态环境的保护，做好护林防火工作。</w:t>
      </w:r>
    </w:p>
    <w:p>
      <w:pPr>
        <w:widowControl/>
        <w:shd w:val="clear" w:color="auto" w:fill="FFFFFF"/>
        <w:spacing w:before="100" w:beforeAutospacing="1" w:after="100" w:afterAutospacing="1" w:line="480" w:lineRule="auto"/>
        <w:ind w:firstLine="480"/>
        <w:jc w:val="left"/>
        <w:rPr>
          <w:rFonts w:ascii="宋体" w:hAnsi="宋体" w:cs="宋体"/>
          <w:kern w:val="0"/>
          <w:sz w:val="24"/>
          <w:szCs w:val="24"/>
        </w:rPr>
      </w:pPr>
      <w:r>
        <w:rPr>
          <w:rFonts w:ascii="宋体" w:hAnsi="宋体" w:cs="宋体"/>
          <w:kern w:val="0"/>
          <w:sz w:val="24"/>
          <w:szCs w:val="24"/>
        </w:rPr>
        <w:t>（3）负责本行政区域内的民政、计划生育、文化教育、卫生、体育等社会公益事业的综合性工作，维护一切经济单位和个人的正当经济权益，取缔非法经济活动，调解和处理民事纠纷，打击刑事犯罪维护社会稳定。</w:t>
      </w:r>
    </w:p>
    <w:p>
      <w:pPr>
        <w:widowControl/>
        <w:shd w:val="clear" w:color="auto" w:fill="FFFFFF"/>
        <w:spacing w:before="100" w:beforeAutospacing="1" w:after="100" w:afterAutospacing="1" w:line="480" w:lineRule="auto"/>
        <w:ind w:firstLine="480"/>
        <w:jc w:val="left"/>
        <w:rPr>
          <w:rFonts w:ascii="宋体" w:hAnsi="宋体" w:cs="宋体"/>
          <w:kern w:val="0"/>
          <w:sz w:val="24"/>
          <w:szCs w:val="24"/>
        </w:rPr>
      </w:pPr>
      <w:r>
        <w:rPr>
          <w:rFonts w:ascii="宋体" w:hAnsi="宋体" w:cs="宋体"/>
          <w:kern w:val="0"/>
          <w:sz w:val="24"/>
          <w:szCs w:val="24"/>
        </w:rPr>
        <w:t>（4）按计划组织本级财政收入和地方税的征收，完成国家财政计划，不断培植税源，管好财政资金，增强财政实力。</w:t>
      </w:r>
    </w:p>
    <w:p>
      <w:pPr>
        <w:widowControl/>
        <w:shd w:val="clear" w:color="auto" w:fill="FFFFFF"/>
        <w:spacing w:before="100" w:beforeAutospacing="1" w:after="100" w:afterAutospacing="1" w:line="480" w:lineRule="auto"/>
        <w:ind w:firstLine="480"/>
        <w:jc w:val="left"/>
        <w:rPr>
          <w:rFonts w:ascii="宋体" w:hAnsi="宋体" w:cs="宋体"/>
          <w:kern w:val="0"/>
          <w:sz w:val="24"/>
          <w:szCs w:val="24"/>
        </w:rPr>
      </w:pPr>
      <w:r>
        <w:rPr>
          <w:rFonts w:ascii="宋体" w:hAnsi="宋体" w:cs="宋体"/>
          <w:kern w:val="0"/>
          <w:sz w:val="24"/>
          <w:szCs w:val="24"/>
        </w:rPr>
        <w:t>（5）抓好精神文明建设，丰富群众文化生活，提倡移风易俗，反对封建迷信，破除陈规陋习，树立社会主义新风尚。</w:t>
      </w:r>
    </w:p>
    <w:p>
      <w:pPr>
        <w:widowControl/>
        <w:shd w:val="clear" w:color="auto" w:fill="FFFFFF"/>
        <w:spacing w:before="100" w:beforeAutospacing="1" w:afterAutospacing="1" w:line="480" w:lineRule="auto"/>
        <w:ind w:left="315" w:hanging="315"/>
        <w:jc w:val="left"/>
        <w:rPr>
          <w:rFonts w:ascii="宋体" w:hAnsi="宋体" w:cs="宋体"/>
          <w:kern w:val="0"/>
          <w:sz w:val="24"/>
          <w:szCs w:val="24"/>
        </w:rPr>
      </w:pPr>
      <w:r>
        <w:rPr>
          <w:rFonts w:ascii="宋体" w:hAnsi="宋体" w:cs="宋体"/>
          <w:kern w:val="0"/>
          <w:sz w:val="24"/>
          <w:szCs w:val="24"/>
        </w:rPr>
        <w:t>（6）完成上级政府交办的其它事项。</w:t>
      </w:r>
    </w:p>
    <w:p>
      <w:pPr>
        <w:adjustRightInd w:val="0"/>
        <w:snapToGrid w:val="0"/>
        <w:spacing w:line="480" w:lineRule="auto"/>
        <w:ind w:left="360" w:hanging="360"/>
        <w:rPr>
          <w:rFonts w:ascii="宋体" w:hAnsi="宋体"/>
          <w:sz w:val="24"/>
          <w:szCs w:val="24"/>
        </w:rPr>
      </w:pPr>
      <w:r>
        <w:rPr>
          <w:rFonts w:hint="eastAsia" w:ascii="宋体" w:hAnsi="宋体"/>
          <w:sz w:val="24"/>
          <w:szCs w:val="24"/>
        </w:rPr>
        <w:t>（三）2020年度工作计划。</w:t>
      </w:r>
    </w:p>
    <w:p>
      <w:pPr>
        <w:widowControl/>
        <w:shd w:val="clear" w:color="auto" w:fill="FFFFFF"/>
        <w:spacing w:line="480" w:lineRule="auto"/>
        <w:ind w:left="480" w:hanging="480"/>
        <w:rPr>
          <w:rFonts w:ascii="宋体" w:hAnsi="宋体" w:cs="宋体"/>
          <w:kern w:val="0"/>
          <w:sz w:val="24"/>
          <w:szCs w:val="24"/>
        </w:rPr>
      </w:pPr>
      <w:r>
        <w:rPr>
          <w:rFonts w:hint="eastAsia" w:ascii="宋体" w:hAnsi="宋体" w:cs="宋体"/>
          <w:color w:val="000000"/>
          <w:kern w:val="0"/>
          <w:sz w:val="24"/>
          <w:szCs w:val="24"/>
        </w:rPr>
        <w:t>（1）着重抓好财源建设，强化征管措施；</w:t>
      </w:r>
    </w:p>
    <w:p>
      <w:pPr>
        <w:widowControl/>
        <w:shd w:val="clear" w:color="auto" w:fill="FFFFFF"/>
        <w:spacing w:line="480" w:lineRule="auto"/>
        <w:ind w:left="480" w:hanging="480"/>
        <w:rPr>
          <w:rFonts w:ascii="宋体" w:hAnsi="宋体" w:cs="宋体"/>
          <w:kern w:val="0"/>
          <w:sz w:val="24"/>
          <w:szCs w:val="24"/>
        </w:rPr>
      </w:pPr>
      <w:r>
        <w:rPr>
          <w:rFonts w:hint="eastAsia" w:ascii="宋体" w:hAnsi="宋体" w:cs="宋体"/>
          <w:color w:val="000000"/>
          <w:kern w:val="0"/>
          <w:sz w:val="24"/>
          <w:szCs w:val="24"/>
        </w:rPr>
        <w:t>（2）加强支出管理，保障重点及专项支出；</w:t>
      </w:r>
    </w:p>
    <w:p>
      <w:pPr>
        <w:widowControl/>
        <w:shd w:val="clear" w:color="auto" w:fill="FFFFFF"/>
        <w:spacing w:line="480" w:lineRule="auto"/>
        <w:ind w:left="480" w:hanging="480"/>
        <w:rPr>
          <w:rFonts w:ascii="宋体" w:hAnsi="宋体" w:cs="宋体"/>
          <w:kern w:val="0"/>
          <w:sz w:val="24"/>
          <w:szCs w:val="24"/>
        </w:rPr>
      </w:pPr>
      <w:r>
        <w:rPr>
          <w:rFonts w:hint="eastAsia" w:ascii="宋体" w:hAnsi="宋体" w:cs="宋体"/>
          <w:color w:val="000000"/>
          <w:kern w:val="0"/>
          <w:sz w:val="24"/>
          <w:szCs w:val="24"/>
        </w:rPr>
        <w:t>（3）加强财政监管职能，融活财政资金。</w:t>
      </w:r>
    </w:p>
    <w:p>
      <w:pPr>
        <w:adjustRightInd w:val="0"/>
        <w:snapToGrid w:val="0"/>
        <w:spacing w:line="600" w:lineRule="exact"/>
        <w:ind w:left="480" w:hanging="480"/>
        <w:rPr>
          <w:rFonts w:ascii="仿宋" w:hAnsi="仿宋" w:eastAsia="仿宋"/>
          <w:sz w:val="32"/>
          <w:szCs w:val="32"/>
        </w:rPr>
      </w:pPr>
    </w:p>
    <w:p>
      <w:pPr>
        <w:adjustRightInd w:val="0"/>
        <w:snapToGrid w:val="0"/>
        <w:spacing w:line="600" w:lineRule="exact"/>
        <w:ind w:left="480" w:hanging="480"/>
        <w:rPr>
          <w:rFonts w:ascii="仿宋" w:hAnsi="仿宋" w:eastAsia="仿宋"/>
          <w:sz w:val="32"/>
          <w:szCs w:val="32"/>
        </w:rPr>
      </w:pPr>
      <w:r>
        <w:rPr>
          <w:rFonts w:hint="eastAsia" w:ascii="仿宋" w:hAnsi="仿宋" w:eastAsia="仿宋"/>
          <w:sz w:val="32"/>
          <w:szCs w:val="32"/>
        </w:rPr>
        <w:t>二、部门整体支出规模、使用方向和内容</w:t>
      </w:r>
      <w:r>
        <w:rPr>
          <w:rFonts w:hint="eastAsia" w:ascii="仿宋" w:hAnsi="仿宋" w:eastAsia="仿宋"/>
          <w:bCs/>
          <w:sz w:val="32"/>
          <w:szCs w:val="32"/>
        </w:rPr>
        <w:t>（金额：万元）</w:t>
      </w:r>
    </w:p>
    <w:p>
      <w:pPr>
        <w:adjustRightInd w:val="0"/>
        <w:snapToGrid w:val="0"/>
        <w:spacing w:line="600" w:lineRule="exact"/>
        <w:ind w:left="480" w:hanging="48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一</w:t>
      </w:r>
      <w:r>
        <w:rPr>
          <w:rFonts w:hint="eastAsia" w:ascii="仿宋" w:hAnsi="仿宋" w:eastAsia="仿宋"/>
          <w:sz w:val="32"/>
          <w:szCs w:val="32"/>
        </w:rPr>
        <w:t>）年度预算收支情况</w:t>
      </w:r>
    </w:p>
    <w:p>
      <w:pPr>
        <w:adjustRightInd w:val="0"/>
        <w:snapToGrid w:val="0"/>
        <w:spacing w:line="600" w:lineRule="exact"/>
        <w:ind w:left="480" w:hanging="480"/>
        <w:rPr>
          <w:rFonts w:ascii="仿宋" w:hAnsi="仿宋" w:eastAsia="仿宋"/>
          <w:sz w:val="32"/>
          <w:szCs w:val="32"/>
        </w:rPr>
      </w:pPr>
      <w:r>
        <w:rPr>
          <w:rFonts w:hint="eastAsia" w:ascii="仿宋" w:hAnsi="仿宋" w:eastAsia="仿宋"/>
          <w:sz w:val="32"/>
          <w:szCs w:val="32"/>
        </w:rPr>
        <w:t>1.年初预算收支</w:t>
      </w:r>
    </w:p>
    <w:tbl>
      <w:tblPr>
        <w:tblStyle w:val="9"/>
        <w:tblpPr w:leftFromText="180" w:rightFromText="180" w:vertAnchor="text" w:horzAnchor="page" w:tblpXSpec="center" w:tblpY="442"/>
        <w:tblOverlap w:val="never"/>
        <w:tblW w:w="0" w:type="auto"/>
        <w:jc w:val="center"/>
        <w:tblLayout w:type="fixed"/>
        <w:tblCellMar>
          <w:top w:w="0" w:type="dxa"/>
          <w:left w:w="0" w:type="dxa"/>
          <w:bottom w:w="0" w:type="dxa"/>
          <w:right w:w="0" w:type="dxa"/>
        </w:tblCellMar>
      </w:tblPr>
      <w:tblGrid>
        <w:gridCol w:w="2135"/>
        <w:gridCol w:w="1736"/>
        <w:gridCol w:w="1624"/>
        <w:gridCol w:w="1344"/>
        <w:gridCol w:w="1841"/>
      </w:tblGrid>
      <w:tr>
        <w:tblPrEx>
          <w:tblCellMar>
            <w:top w:w="0" w:type="dxa"/>
            <w:left w:w="0" w:type="dxa"/>
            <w:bottom w:w="0" w:type="dxa"/>
            <w:right w:w="0" w:type="dxa"/>
          </w:tblCellMar>
        </w:tblPrEx>
        <w:trPr>
          <w:trHeight w:val="337" w:hRule="atLeast"/>
          <w:jc w:val="center"/>
        </w:trPr>
        <w:tc>
          <w:tcPr>
            <w:tcW w:w="2135" w:type="dxa"/>
            <w:vMerge w:val="restart"/>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6" w:hanging="316"/>
              <w:jc w:val="center"/>
              <w:textAlignment w:val="center"/>
              <w:rPr>
                <w:rFonts w:ascii="仿宋" w:hAnsi="仿宋" w:eastAsia="仿宋" w:cs="微软雅黑"/>
                <w:color w:val="010101"/>
                <w:szCs w:val="21"/>
              </w:rPr>
            </w:pPr>
            <w:r>
              <w:rPr>
                <w:rFonts w:hint="eastAsia" w:ascii="仿宋" w:hAnsi="仿宋" w:eastAsia="仿宋" w:cs="宋体"/>
                <w:b/>
                <w:color w:val="000000"/>
                <w:kern w:val="0"/>
                <w:szCs w:val="21"/>
              </w:rPr>
              <w:t>预算项目</w:t>
            </w:r>
          </w:p>
        </w:tc>
        <w:tc>
          <w:tcPr>
            <w:tcW w:w="3360" w:type="dxa"/>
            <w:gridSpan w:val="2"/>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6" w:hanging="316"/>
              <w:jc w:val="center"/>
              <w:textAlignment w:val="center"/>
              <w:rPr>
                <w:rFonts w:ascii="仿宋" w:hAnsi="仿宋" w:eastAsia="仿宋" w:cs="微软雅黑"/>
                <w:color w:val="010101"/>
                <w:szCs w:val="21"/>
              </w:rPr>
            </w:pPr>
            <w:r>
              <w:rPr>
                <w:rFonts w:hint="eastAsia" w:ascii="仿宋" w:hAnsi="仿宋" w:eastAsia="仿宋" w:cs="宋体"/>
                <w:b/>
                <w:color w:val="000000"/>
                <w:kern w:val="0"/>
                <w:szCs w:val="21"/>
              </w:rPr>
              <w:t>预算金额</w:t>
            </w:r>
          </w:p>
        </w:tc>
        <w:tc>
          <w:tcPr>
            <w:tcW w:w="3185" w:type="dxa"/>
            <w:gridSpan w:val="2"/>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6" w:hanging="316"/>
              <w:jc w:val="center"/>
              <w:textAlignment w:val="center"/>
              <w:rPr>
                <w:rFonts w:ascii="仿宋" w:hAnsi="仿宋" w:eastAsia="仿宋" w:cs="微软雅黑"/>
                <w:color w:val="010101"/>
                <w:szCs w:val="21"/>
              </w:rPr>
            </w:pPr>
            <w:r>
              <w:rPr>
                <w:rFonts w:hint="eastAsia" w:ascii="仿宋" w:hAnsi="仿宋" w:eastAsia="仿宋" w:cs="宋体"/>
                <w:b/>
                <w:color w:val="000000"/>
                <w:kern w:val="0"/>
                <w:szCs w:val="21"/>
              </w:rPr>
              <w:t>较上年增减变化</w:t>
            </w:r>
          </w:p>
        </w:tc>
      </w:tr>
      <w:tr>
        <w:tblPrEx>
          <w:tblCellMar>
            <w:top w:w="0" w:type="dxa"/>
            <w:left w:w="0" w:type="dxa"/>
            <w:bottom w:w="0" w:type="dxa"/>
            <w:right w:w="0" w:type="dxa"/>
          </w:tblCellMar>
        </w:tblPrEx>
        <w:trPr>
          <w:trHeight w:val="397" w:hRule="atLeast"/>
          <w:jc w:val="center"/>
        </w:trPr>
        <w:tc>
          <w:tcPr>
            <w:tcW w:w="2135" w:type="dxa"/>
            <w:vMerge w:val="continue"/>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snapToGrid w:val="0"/>
              <w:spacing w:line="600" w:lineRule="exact"/>
              <w:ind w:left="315" w:hanging="315"/>
              <w:rPr>
                <w:rFonts w:ascii="仿宋" w:hAnsi="仿宋" w:eastAsia="仿宋" w:cs="Arial"/>
                <w:color w:val="333333"/>
                <w:szCs w:val="21"/>
              </w:rPr>
            </w:pPr>
          </w:p>
        </w:tc>
        <w:tc>
          <w:tcPr>
            <w:tcW w:w="1736"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6" w:hanging="316"/>
              <w:jc w:val="center"/>
              <w:textAlignment w:val="center"/>
              <w:rPr>
                <w:rFonts w:ascii="仿宋" w:hAnsi="仿宋" w:eastAsia="仿宋" w:cs="微软雅黑"/>
                <w:color w:val="010101"/>
                <w:szCs w:val="21"/>
              </w:rPr>
            </w:pPr>
            <w:r>
              <w:rPr>
                <w:rFonts w:hint="eastAsia" w:ascii="仿宋" w:hAnsi="仿宋" w:eastAsia="仿宋" w:cs="微软雅黑"/>
                <w:b/>
                <w:color w:val="000000"/>
                <w:kern w:val="0"/>
                <w:szCs w:val="21"/>
              </w:rPr>
              <w:t>2020</w:t>
            </w:r>
            <w:r>
              <w:rPr>
                <w:rFonts w:hint="eastAsia" w:ascii="仿宋" w:hAnsi="仿宋" w:eastAsia="仿宋" w:cs="宋体"/>
                <w:b/>
                <w:color w:val="000000"/>
                <w:kern w:val="0"/>
                <w:szCs w:val="21"/>
              </w:rPr>
              <w:t>年</w:t>
            </w:r>
          </w:p>
        </w:tc>
        <w:tc>
          <w:tcPr>
            <w:tcW w:w="1624"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6" w:hanging="316"/>
              <w:jc w:val="center"/>
              <w:textAlignment w:val="center"/>
              <w:rPr>
                <w:rFonts w:ascii="仿宋" w:hAnsi="仿宋" w:eastAsia="仿宋" w:cs="微软雅黑"/>
                <w:color w:val="010101"/>
                <w:szCs w:val="21"/>
              </w:rPr>
            </w:pPr>
            <w:r>
              <w:rPr>
                <w:rFonts w:hint="eastAsia" w:ascii="仿宋" w:hAnsi="仿宋" w:eastAsia="仿宋" w:cs="微软雅黑"/>
                <w:b/>
                <w:color w:val="000000"/>
                <w:kern w:val="0"/>
                <w:szCs w:val="21"/>
              </w:rPr>
              <w:t>2019</w:t>
            </w:r>
            <w:r>
              <w:rPr>
                <w:rFonts w:hint="eastAsia" w:ascii="仿宋" w:hAnsi="仿宋" w:eastAsia="仿宋" w:cs="宋体"/>
                <w:b/>
                <w:color w:val="000000"/>
                <w:kern w:val="0"/>
                <w:szCs w:val="21"/>
              </w:rPr>
              <w:t>年</w:t>
            </w:r>
          </w:p>
        </w:tc>
        <w:tc>
          <w:tcPr>
            <w:tcW w:w="1344"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6" w:hanging="316"/>
              <w:jc w:val="center"/>
              <w:textAlignment w:val="center"/>
              <w:rPr>
                <w:rFonts w:ascii="仿宋" w:hAnsi="仿宋" w:eastAsia="仿宋" w:cs="微软雅黑"/>
                <w:color w:val="010101"/>
                <w:szCs w:val="21"/>
              </w:rPr>
            </w:pPr>
            <w:r>
              <w:rPr>
                <w:rFonts w:hint="eastAsia" w:ascii="仿宋" w:hAnsi="仿宋" w:eastAsia="仿宋" w:cs="宋体"/>
                <w:b/>
                <w:color w:val="000000"/>
                <w:kern w:val="0"/>
                <w:szCs w:val="21"/>
              </w:rPr>
              <w:t>金额</w:t>
            </w:r>
          </w:p>
        </w:tc>
        <w:tc>
          <w:tcPr>
            <w:tcW w:w="1841"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6" w:hanging="316"/>
              <w:jc w:val="center"/>
              <w:textAlignment w:val="center"/>
              <w:rPr>
                <w:rFonts w:ascii="仿宋" w:hAnsi="仿宋" w:eastAsia="仿宋" w:cs="微软雅黑"/>
                <w:color w:val="010101"/>
                <w:szCs w:val="21"/>
              </w:rPr>
            </w:pPr>
            <w:r>
              <w:rPr>
                <w:rFonts w:hint="eastAsia" w:ascii="仿宋" w:hAnsi="仿宋" w:eastAsia="仿宋" w:cs="宋体"/>
                <w:b/>
                <w:color w:val="000000"/>
                <w:kern w:val="0"/>
                <w:szCs w:val="21"/>
              </w:rPr>
              <w:t>比例</w:t>
            </w:r>
          </w:p>
        </w:tc>
      </w:tr>
      <w:tr>
        <w:tblPrEx>
          <w:tblCellMar>
            <w:top w:w="0" w:type="dxa"/>
            <w:left w:w="0" w:type="dxa"/>
            <w:bottom w:w="0" w:type="dxa"/>
            <w:right w:w="0" w:type="dxa"/>
          </w:tblCellMar>
        </w:tblPrEx>
        <w:trPr>
          <w:trHeight w:val="534" w:hRule="atLeast"/>
          <w:jc w:val="center"/>
        </w:trPr>
        <w:tc>
          <w:tcPr>
            <w:tcW w:w="2135"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6" w:hanging="316"/>
              <w:jc w:val="left"/>
              <w:rPr>
                <w:rFonts w:ascii="仿宋" w:hAnsi="仿宋" w:eastAsia="仿宋" w:cs="微软雅黑"/>
                <w:color w:val="010101"/>
                <w:szCs w:val="21"/>
              </w:rPr>
            </w:pPr>
            <w:r>
              <w:rPr>
                <w:rFonts w:hint="eastAsia" w:ascii="仿宋" w:hAnsi="仿宋" w:eastAsia="仿宋" w:cs="宋体"/>
                <w:b/>
                <w:color w:val="010101"/>
                <w:kern w:val="0"/>
                <w:szCs w:val="21"/>
              </w:rPr>
              <w:t>收入预算</w:t>
            </w:r>
          </w:p>
        </w:tc>
        <w:tc>
          <w:tcPr>
            <w:tcW w:w="173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center"/>
              <w:rPr>
                <w:rFonts w:ascii="仿宋" w:hAnsi="仿宋" w:eastAsia="仿宋" w:cs="微软雅黑"/>
                <w:color w:val="010101"/>
                <w:szCs w:val="21"/>
              </w:rPr>
            </w:pPr>
            <w:r>
              <w:rPr>
                <w:rFonts w:hint="eastAsia" w:ascii="仿宋" w:hAnsi="仿宋" w:eastAsia="仿宋" w:cs="微软雅黑"/>
                <w:color w:val="010101"/>
                <w:szCs w:val="21"/>
              </w:rPr>
              <w:t>3093</w:t>
            </w:r>
          </w:p>
        </w:tc>
        <w:tc>
          <w:tcPr>
            <w:tcW w:w="162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center"/>
              <w:rPr>
                <w:rFonts w:ascii="仿宋" w:hAnsi="仿宋" w:eastAsia="仿宋" w:cs="微软雅黑"/>
                <w:color w:val="010101"/>
                <w:szCs w:val="21"/>
              </w:rPr>
            </w:pPr>
            <w:r>
              <w:rPr>
                <w:rFonts w:hint="eastAsia" w:ascii="仿宋" w:hAnsi="仿宋" w:eastAsia="仿宋" w:cs="微软雅黑"/>
                <w:color w:val="010101"/>
                <w:szCs w:val="21"/>
              </w:rPr>
              <w:t>1876.44</w:t>
            </w:r>
          </w:p>
        </w:tc>
        <w:tc>
          <w:tcPr>
            <w:tcW w:w="134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center"/>
              <w:rPr>
                <w:rFonts w:ascii="仿宋" w:hAnsi="仿宋" w:eastAsia="仿宋" w:cs="微软雅黑"/>
                <w:color w:val="010101"/>
                <w:szCs w:val="21"/>
              </w:rPr>
            </w:pPr>
            <w:r>
              <w:rPr>
                <w:rFonts w:hint="eastAsia" w:ascii="仿宋" w:hAnsi="仿宋" w:eastAsia="仿宋" w:cs="微软雅黑"/>
                <w:color w:val="010101"/>
                <w:szCs w:val="21"/>
              </w:rPr>
              <w:t>1216.56</w:t>
            </w:r>
          </w:p>
        </w:tc>
        <w:tc>
          <w:tcPr>
            <w:tcW w:w="184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微软雅黑"/>
                <w:color w:val="010101"/>
                <w:szCs w:val="21"/>
              </w:rPr>
            </w:pPr>
            <w:r>
              <w:rPr>
                <w:rFonts w:hint="eastAsia" w:ascii="仿宋" w:hAnsi="仿宋" w:eastAsia="仿宋" w:cs="微软雅黑"/>
                <w:color w:val="010101"/>
                <w:szCs w:val="21"/>
              </w:rPr>
              <w:t>64%</w:t>
            </w:r>
          </w:p>
        </w:tc>
      </w:tr>
      <w:tr>
        <w:tblPrEx>
          <w:tblCellMar>
            <w:top w:w="0" w:type="dxa"/>
            <w:left w:w="0" w:type="dxa"/>
            <w:bottom w:w="0" w:type="dxa"/>
            <w:right w:w="0" w:type="dxa"/>
          </w:tblCellMar>
        </w:tblPrEx>
        <w:trPr>
          <w:trHeight w:val="534" w:hRule="atLeast"/>
          <w:jc w:val="center"/>
        </w:trPr>
        <w:tc>
          <w:tcPr>
            <w:tcW w:w="2135"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left"/>
              <w:rPr>
                <w:rFonts w:ascii="仿宋" w:hAnsi="仿宋" w:eastAsia="仿宋" w:cs="微软雅黑"/>
                <w:color w:val="010101"/>
                <w:szCs w:val="21"/>
              </w:rPr>
            </w:pPr>
            <w:r>
              <w:rPr>
                <w:rFonts w:hint="eastAsia" w:ascii="仿宋" w:hAnsi="仿宋" w:eastAsia="仿宋" w:cs="宋体"/>
                <w:color w:val="010101"/>
                <w:kern w:val="0"/>
                <w:szCs w:val="21"/>
              </w:rPr>
              <w:t>其中：财政经费拨款</w:t>
            </w:r>
          </w:p>
        </w:tc>
        <w:tc>
          <w:tcPr>
            <w:tcW w:w="173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center"/>
              <w:rPr>
                <w:rFonts w:ascii="仿宋" w:hAnsi="仿宋" w:eastAsia="仿宋" w:cs="微软雅黑"/>
                <w:color w:val="010101"/>
                <w:szCs w:val="21"/>
              </w:rPr>
            </w:pPr>
            <w:r>
              <w:rPr>
                <w:rFonts w:hint="eastAsia" w:ascii="仿宋" w:hAnsi="仿宋" w:eastAsia="仿宋" w:cs="微软雅黑"/>
                <w:color w:val="010101"/>
                <w:szCs w:val="21"/>
              </w:rPr>
              <w:t>3093</w:t>
            </w:r>
          </w:p>
        </w:tc>
        <w:tc>
          <w:tcPr>
            <w:tcW w:w="162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center"/>
              <w:rPr>
                <w:rFonts w:ascii="仿宋" w:hAnsi="仿宋" w:eastAsia="仿宋" w:cs="微软雅黑"/>
                <w:color w:val="010101"/>
                <w:szCs w:val="21"/>
              </w:rPr>
            </w:pPr>
            <w:r>
              <w:rPr>
                <w:rFonts w:hint="eastAsia" w:ascii="仿宋" w:hAnsi="仿宋" w:eastAsia="仿宋" w:cs="微软雅黑"/>
                <w:color w:val="010101"/>
                <w:szCs w:val="21"/>
              </w:rPr>
              <w:t>1876.44</w:t>
            </w:r>
          </w:p>
        </w:tc>
        <w:tc>
          <w:tcPr>
            <w:tcW w:w="134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center"/>
              <w:rPr>
                <w:rFonts w:ascii="仿宋" w:hAnsi="仿宋" w:eastAsia="仿宋" w:cs="微软雅黑"/>
                <w:color w:val="010101"/>
                <w:szCs w:val="21"/>
              </w:rPr>
            </w:pPr>
            <w:r>
              <w:rPr>
                <w:rFonts w:hint="eastAsia" w:ascii="仿宋" w:hAnsi="仿宋" w:eastAsia="仿宋" w:cs="微软雅黑"/>
                <w:color w:val="010101"/>
                <w:szCs w:val="21"/>
              </w:rPr>
              <w:t>1216.56</w:t>
            </w:r>
          </w:p>
        </w:tc>
        <w:tc>
          <w:tcPr>
            <w:tcW w:w="184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微软雅黑"/>
                <w:color w:val="010101"/>
                <w:szCs w:val="21"/>
              </w:rPr>
            </w:pPr>
            <w:r>
              <w:rPr>
                <w:rFonts w:hint="eastAsia" w:ascii="仿宋" w:hAnsi="仿宋" w:eastAsia="仿宋" w:cs="微软雅黑"/>
                <w:color w:val="010101"/>
                <w:szCs w:val="21"/>
              </w:rPr>
              <w:t>64%</w:t>
            </w:r>
          </w:p>
        </w:tc>
      </w:tr>
      <w:tr>
        <w:tblPrEx>
          <w:tblCellMar>
            <w:top w:w="0" w:type="dxa"/>
            <w:left w:w="0" w:type="dxa"/>
            <w:bottom w:w="0" w:type="dxa"/>
            <w:right w:w="0" w:type="dxa"/>
          </w:tblCellMar>
        </w:tblPrEx>
        <w:trPr>
          <w:trHeight w:val="534" w:hRule="atLeast"/>
          <w:jc w:val="center"/>
        </w:trPr>
        <w:tc>
          <w:tcPr>
            <w:tcW w:w="2135"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6" w:hanging="316"/>
              <w:jc w:val="left"/>
              <w:rPr>
                <w:rFonts w:ascii="仿宋" w:hAnsi="仿宋" w:eastAsia="仿宋" w:cs="微软雅黑"/>
                <w:color w:val="010101"/>
                <w:szCs w:val="21"/>
              </w:rPr>
            </w:pPr>
            <w:r>
              <w:rPr>
                <w:rFonts w:hint="eastAsia" w:ascii="仿宋" w:hAnsi="仿宋" w:eastAsia="仿宋" w:cs="宋体"/>
                <w:b/>
                <w:color w:val="010101"/>
                <w:kern w:val="0"/>
                <w:szCs w:val="21"/>
              </w:rPr>
              <w:t>支出预算</w:t>
            </w:r>
          </w:p>
        </w:tc>
        <w:tc>
          <w:tcPr>
            <w:tcW w:w="173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center"/>
              <w:rPr>
                <w:rFonts w:ascii="仿宋" w:hAnsi="仿宋" w:eastAsia="仿宋" w:cs="微软雅黑"/>
                <w:color w:val="010101"/>
                <w:szCs w:val="21"/>
              </w:rPr>
            </w:pPr>
            <w:r>
              <w:rPr>
                <w:rFonts w:hint="eastAsia" w:ascii="仿宋" w:hAnsi="仿宋" w:eastAsia="仿宋" w:cs="微软雅黑"/>
                <w:color w:val="010101"/>
                <w:szCs w:val="21"/>
              </w:rPr>
              <w:t>3093</w:t>
            </w:r>
          </w:p>
        </w:tc>
        <w:tc>
          <w:tcPr>
            <w:tcW w:w="162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center"/>
              <w:rPr>
                <w:rFonts w:ascii="仿宋" w:hAnsi="仿宋" w:eastAsia="仿宋" w:cs="微软雅黑"/>
                <w:color w:val="010101"/>
                <w:szCs w:val="21"/>
              </w:rPr>
            </w:pPr>
            <w:r>
              <w:rPr>
                <w:rFonts w:hint="eastAsia" w:ascii="仿宋" w:hAnsi="仿宋" w:eastAsia="仿宋" w:cs="微软雅黑"/>
                <w:color w:val="010101"/>
                <w:szCs w:val="21"/>
              </w:rPr>
              <w:t>1876.44</w:t>
            </w:r>
          </w:p>
        </w:tc>
        <w:tc>
          <w:tcPr>
            <w:tcW w:w="134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center"/>
              <w:rPr>
                <w:rFonts w:ascii="仿宋" w:hAnsi="仿宋" w:eastAsia="仿宋" w:cs="微软雅黑"/>
                <w:color w:val="010101"/>
                <w:szCs w:val="21"/>
              </w:rPr>
            </w:pPr>
            <w:r>
              <w:rPr>
                <w:rFonts w:hint="eastAsia" w:ascii="仿宋" w:hAnsi="仿宋" w:eastAsia="仿宋" w:cs="微软雅黑"/>
                <w:color w:val="010101"/>
                <w:szCs w:val="21"/>
              </w:rPr>
              <w:t>1216.56</w:t>
            </w:r>
          </w:p>
        </w:tc>
        <w:tc>
          <w:tcPr>
            <w:tcW w:w="184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微软雅黑"/>
                <w:color w:val="010101"/>
                <w:szCs w:val="21"/>
              </w:rPr>
            </w:pPr>
            <w:r>
              <w:rPr>
                <w:rFonts w:hint="eastAsia" w:ascii="仿宋" w:hAnsi="仿宋" w:eastAsia="仿宋" w:cs="微软雅黑"/>
                <w:color w:val="010101"/>
                <w:szCs w:val="21"/>
              </w:rPr>
              <w:t>64%</w:t>
            </w:r>
          </w:p>
        </w:tc>
      </w:tr>
      <w:tr>
        <w:tblPrEx>
          <w:tblCellMar>
            <w:top w:w="0" w:type="dxa"/>
            <w:left w:w="0" w:type="dxa"/>
            <w:bottom w:w="0" w:type="dxa"/>
            <w:right w:w="0" w:type="dxa"/>
          </w:tblCellMar>
        </w:tblPrEx>
        <w:trPr>
          <w:trHeight w:val="534" w:hRule="atLeast"/>
          <w:jc w:val="center"/>
        </w:trPr>
        <w:tc>
          <w:tcPr>
            <w:tcW w:w="2135"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left"/>
              <w:rPr>
                <w:rFonts w:ascii="仿宋" w:hAnsi="仿宋" w:eastAsia="仿宋" w:cs="微软雅黑"/>
                <w:color w:val="010101"/>
                <w:szCs w:val="21"/>
              </w:rPr>
            </w:pPr>
            <w:r>
              <w:rPr>
                <w:rFonts w:hint="eastAsia" w:ascii="仿宋" w:hAnsi="仿宋" w:eastAsia="仿宋" w:cs="宋体"/>
                <w:color w:val="010101"/>
                <w:kern w:val="0"/>
                <w:szCs w:val="21"/>
              </w:rPr>
              <w:t>其中：基本支出</w:t>
            </w:r>
          </w:p>
        </w:tc>
        <w:tc>
          <w:tcPr>
            <w:tcW w:w="173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center"/>
              <w:rPr>
                <w:rFonts w:ascii="仿宋" w:hAnsi="仿宋" w:eastAsia="仿宋" w:cs="微软雅黑"/>
                <w:color w:val="010101"/>
                <w:szCs w:val="21"/>
              </w:rPr>
            </w:pPr>
            <w:r>
              <w:rPr>
                <w:rFonts w:hint="eastAsia" w:ascii="仿宋" w:hAnsi="仿宋" w:eastAsia="仿宋" w:cs="微软雅黑"/>
                <w:color w:val="010101"/>
                <w:szCs w:val="21"/>
              </w:rPr>
              <w:t>3093</w:t>
            </w:r>
          </w:p>
        </w:tc>
        <w:tc>
          <w:tcPr>
            <w:tcW w:w="162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center"/>
              <w:rPr>
                <w:rFonts w:ascii="仿宋" w:hAnsi="仿宋" w:eastAsia="仿宋" w:cs="微软雅黑"/>
                <w:color w:val="010101"/>
                <w:szCs w:val="21"/>
              </w:rPr>
            </w:pPr>
            <w:r>
              <w:rPr>
                <w:rFonts w:hint="eastAsia" w:ascii="仿宋" w:hAnsi="仿宋" w:eastAsia="仿宋" w:cs="微软雅黑"/>
                <w:color w:val="010101"/>
                <w:szCs w:val="21"/>
              </w:rPr>
              <w:t>1876.44</w:t>
            </w:r>
          </w:p>
        </w:tc>
        <w:tc>
          <w:tcPr>
            <w:tcW w:w="134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center"/>
              <w:rPr>
                <w:rFonts w:ascii="仿宋" w:hAnsi="仿宋" w:eastAsia="仿宋" w:cs="微软雅黑"/>
                <w:color w:val="010101"/>
                <w:szCs w:val="21"/>
              </w:rPr>
            </w:pPr>
            <w:r>
              <w:rPr>
                <w:rFonts w:hint="eastAsia" w:ascii="仿宋" w:hAnsi="仿宋" w:eastAsia="仿宋" w:cs="微软雅黑"/>
                <w:color w:val="010101"/>
                <w:szCs w:val="21"/>
              </w:rPr>
              <w:t>1216.56</w:t>
            </w:r>
          </w:p>
        </w:tc>
        <w:tc>
          <w:tcPr>
            <w:tcW w:w="184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微软雅黑"/>
                <w:color w:val="010101"/>
                <w:szCs w:val="21"/>
              </w:rPr>
            </w:pPr>
            <w:r>
              <w:rPr>
                <w:rFonts w:hint="eastAsia" w:ascii="仿宋" w:hAnsi="仿宋" w:eastAsia="仿宋" w:cs="微软雅黑"/>
                <w:color w:val="010101"/>
                <w:szCs w:val="21"/>
              </w:rPr>
              <w:t>64%</w:t>
            </w:r>
          </w:p>
        </w:tc>
      </w:tr>
      <w:tr>
        <w:tblPrEx>
          <w:tblCellMar>
            <w:top w:w="0" w:type="dxa"/>
            <w:left w:w="0" w:type="dxa"/>
            <w:bottom w:w="0" w:type="dxa"/>
            <w:right w:w="0" w:type="dxa"/>
          </w:tblCellMar>
        </w:tblPrEx>
        <w:trPr>
          <w:trHeight w:val="512" w:hRule="atLeast"/>
          <w:jc w:val="center"/>
        </w:trPr>
        <w:tc>
          <w:tcPr>
            <w:tcW w:w="2135" w:type="dxa"/>
            <w:tcBorders>
              <w:top w:val="nil"/>
              <w:left w:val="single" w:color="auto" w:sz="8" w:space="0"/>
              <w:bottom w:val="single" w:color="auto" w:sz="4" w:space="0"/>
              <w:right w:val="single" w:color="auto" w:sz="8" w:space="0"/>
            </w:tcBorders>
            <w:tcMar>
              <w:left w:w="108" w:type="dxa"/>
              <w:right w:w="108" w:type="dxa"/>
            </w:tcMar>
            <w:vAlign w:val="center"/>
          </w:tcPr>
          <w:p>
            <w:pPr>
              <w:widowControl/>
              <w:snapToGrid w:val="0"/>
              <w:spacing w:line="600" w:lineRule="exact"/>
              <w:ind w:left="315" w:hanging="315"/>
              <w:jc w:val="left"/>
              <w:rPr>
                <w:rFonts w:ascii="仿宋" w:hAnsi="仿宋" w:eastAsia="仿宋" w:cs="微软雅黑"/>
                <w:color w:val="010101"/>
                <w:szCs w:val="21"/>
              </w:rPr>
            </w:pPr>
            <w:r>
              <w:rPr>
                <w:rFonts w:hint="eastAsia" w:ascii="仿宋" w:hAnsi="仿宋" w:eastAsia="仿宋" w:cs="宋体"/>
                <w:color w:val="010101"/>
                <w:kern w:val="0"/>
                <w:szCs w:val="21"/>
              </w:rPr>
              <w:t>其中：项目支出</w:t>
            </w:r>
          </w:p>
        </w:tc>
        <w:tc>
          <w:tcPr>
            <w:tcW w:w="1736" w:type="dxa"/>
            <w:tcBorders>
              <w:top w:val="nil"/>
              <w:left w:val="nil"/>
              <w:bottom w:val="single" w:color="auto" w:sz="4"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ascii="仿宋" w:hAnsi="仿宋" w:eastAsia="仿宋" w:cs="微软雅黑"/>
                <w:color w:val="010101"/>
                <w:szCs w:val="21"/>
              </w:rPr>
            </w:pPr>
          </w:p>
        </w:tc>
        <w:tc>
          <w:tcPr>
            <w:tcW w:w="1624" w:type="dxa"/>
            <w:tcBorders>
              <w:top w:val="nil"/>
              <w:left w:val="nil"/>
              <w:bottom w:val="single" w:color="auto" w:sz="4"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ascii="仿宋" w:hAnsi="仿宋" w:eastAsia="仿宋" w:cs="微软雅黑"/>
                <w:color w:val="010101"/>
                <w:szCs w:val="21"/>
              </w:rPr>
            </w:pPr>
          </w:p>
        </w:tc>
        <w:tc>
          <w:tcPr>
            <w:tcW w:w="1344" w:type="dxa"/>
            <w:tcBorders>
              <w:top w:val="nil"/>
              <w:left w:val="nil"/>
              <w:bottom w:val="single" w:color="auto" w:sz="4"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ascii="仿宋" w:hAnsi="仿宋" w:eastAsia="仿宋" w:cs="微软雅黑"/>
                <w:color w:val="010101"/>
                <w:szCs w:val="21"/>
              </w:rPr>
            </w:pPr>
          </w:p>
        </w:tc>
        <w:tc>
          <w:tcPr>
            <w:tcW w:w="1841" w:type="dxa"/>
            <w:tcBorders>
              <w:top w:val="nil"/>
              <w:left w:val="nil"/>
              <w:bottom w:val="single" w:color="auto" w:sz="4"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微软雅黑"/>
                <w:color w:val="010101"/>
                <w:szCs w:val="21"/>
              </w:rPr>
            </w:pPr>
          </w:p>
        </w:tc>
      </w:tr>
      <w:tr>
        <w:tblPrEx>
          <w:tblCellMar>
            <w:top w:w="0" w:type="dxa"/>
            <w:left w:w="0" w:type="dxa"/>
            <w:bottom w:w="0" w:type="dxa"/>
            <w:right w:w="0" w:type="dxa"/>
          </w:tblCellMar>
        </w:tblPrEx>
        <w:trPr>
          <w:trHeight w:val="59" w:hRule="atLeast"/>
          <w:jc w:val="center"/>
        </w:trPr>
        <w:tc>
          <w:tcPr>
            <w:tcW w:w="2135" w:type="dxa"/>
            <w:tcBorders>
              <w:top w:val="single" w:color="auto" w:sz="4" w:space="0"/>
              <w:left w:val="single" w:color="auto" w:sz="8" w:space="0"/>
              <w:bottom w:val="nil"/>
              <w:right w:val="single" w:color="auto" w:sz="8" w:space="0"/>
            </w:tcBorders>
            <w:tcMar>
              <w:left w:w="108" w:type="dxa"/>
              <w:right w:w="108" w:type="dxa"/>
            </w:tcMar>
            <w:vAlign w:val="center"/>
          </w:tcPr>
          <w:p>
            <w:pPr>
              <w:widowControl/>
              <w:snapToGrid w:val="0"/>
              <w:spacing w:line="600" w:lineRule="exact"/>
              <w:ind w:left="315" w:hanging="315"/>
              <w:jc w:val="left"/>
              <w:rPr>
                <w:rFonts w:ascii="仿宋" w:hAnsi="仿宋" w:eastAsia="仿宋" w:cs="宋体"/>
                <w:color w:val="010101"/>
                <w:kern w:val="0"/>
                <w:szCs w:val="21"/>
              </w:rPr>
            </w:pPr>
          </w:p>
        </w:tc>
        <w:tc>
          <w:tcPr>
            <w:tcW w:w="1736" w:type="dxa"/>
            <w:tcBorders>
              <w:top w:val="single" w:color="auto" w:sz="4" w:space="0"/>
              <w:left w:val="nil"/>
              <w:bottom w:val="nil"/>
              <w:right w:val="single" w:color="auto" w:sz="8" w:space="0"/>
            </w:tcBorders>
            <w:tcMar>
              <w:left w:w="108" w:type="dxa"/>
              <w:right w:w="108" w:type="dxa"/>
            </w:tcMar>
            <w:vAlign w:val="center"/>
          </w:tcPr>
          <w:p>
            <w:pPr>
              <w:widowControl/>
              <w:snapToGrid w:val="0"/>
              <w:spacing w:line="600" w:lineRule="exact"/>
              <w:ind w:left="315" w:right="126" w:hanging="315"/>
              <w:jc w:val="right"/>
              <w:rPr>
                <w:rFonts w:ascii="仿宋" w:hAnsi="仿宋" w:eastAsia="仿宋" w:cs="微软雅黑"/>
                <w:color w:val="010101"/>
                <w:szCs w:val="21"/>
              </w:rPr>
            </w:pPr>
          </w:p>
        </w:tc>
        <w:tc>
          <w:tcPr>
            <w:tcW w:w="1624" w:type="dxa"/>
            <w:tcBorders>
              <w:top w:val="single" w:color="auto" w:sz="4" w:space="0"/>
              <w:left w:val="nil"/>
              <w:bottom w:val="nil"/>
              <w:right w:val="single" w:color="auto" w:sz="8" w:space="0"/>
            </w:tcBorders>
            <w:tcMar>
              <w:left w:w="108" w:type="dxa"/>
              <w:right w:w="108" w:type="dxa"/>
            </w:tcMar>
            <w:vAlign w:val="center"/>
          </w:tcPr>
          <w:p>
            <w:pPr>
              <w:widowControl/>
              <w:snapToGrid w:val="0"/>
              <w:spacing w:line="600" w:lineRule="exact"/>
              <w:ind w:left="315" w:right="126" w:hanging="315"/>
              <w:jc w:val="right"/>
              <w:rPr>
                <w:rFonts w:ascii="仿宋" w:hAnsi="仿宋" w:eastAsia="仿宋" w:cs="微软雅黑"/>
                <w:color w:val="010101"/>
                <w:szCs w:val="21"/>
              </w:rPr>
            </w:pPr>
          </w:p>
        </w:tc>
        <w:tc>
          <w:tcPr>
            <w:tcW w:w="1344" w:type="dxa"/>
            <w:tcBorders>
              <w:top w:val="single" w:color="auto" w:sz="4" w:space="0"/>
              <w:left w:val="nil"/>
              <w:bottom w:val="nil"/>
              <w:right w:val="single" w:color="auto" w:sz="8" w:space="0"/>
            </w:tcBorders>
            <w:tcMar>
              <w:left w:w="108" w:type="dxa"/>
              <w:right w:w="108" w:type="dxa"/>
            </w:tcMar>
            <w:vAlign w:val="center"/>
          </w:tcPr>
          <w:p>
            <w:pPr>
              <w:widowControl/>
              <w:snapToGrid w:val="0"/>
              <w:spacing w:line="600" w:lineRule="exact"/>
              <w:ind w:left="315" w:right="126" w:hanging="315"/>
              <w:jc w:val="right"/>
              <w:rPr>
                <w:rFonts w:ascii="仿宋" w:hAnsi="仿宋" w:eastAsia="仿宋" w:cs="微软雅黑"/>
                <w:color w:val="010101"/>
                <w:szCs w:val="21"/>
              </w:rPr>
            </w:pPr>
          </w:p>
        </w:tc>
        <w:tc>
          <w:tcPr>
            <w:tcW w:w="1841" w:type="dxa"/>
            <w:tcBorders>
              <w:top w:val="single" w:color="auto" w:sz="4" w:space="0"/>
              <w:left w:val="nil"/>
              <w:bottom w:val="nil"/>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微软雅黑"/>
                <w:color w:val="010101"/>
                <w:szCs w:val="21"/>
              </w:rPr>
            </w:pPr>
          </w:p>
        </w:tc>
      </w:tr>
      <w:tr>
        <w:tblPrEx>
          <w:tblCellMar>
            <w:top w:w="0" w:type="dxa"/>
            <w:left w:w="0" w:type="dxa"/>
            <w:bottom w:w="0" w:type="dxa"/>
            <w:right w:w="0" w:type="dxa"/>
          </w:tblCellMar>
        </w:tblPrEx>
        <w:trPr>
          <w:trHeight w:val="141" w:hRule="atLeast"/>
          <w:jc w:val="center"/>
        </w:trPr>
        <w:tc>
          <w:tcPr>
            <w:tcW w:w="2135"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149" w:hanging="149" w:hangingChars="71"/>
              <w:jc w:val="left"/>
              <w:rPr>
                <w:rFonts w:ascii="仿宋" w:hAnsi="仿宋" w:eastAsia="仿宋" w:cs="宋体"/>
                <w:color w:val="010101"/>
                <w:kern w:val="0"/>
                <w:szCs w:val="21"/>
              </w:rPr>
            </w:pPr>
          </w:p>
        </w:tc>
        <w:tc>
          <w:tcPr>
            <w:tcW w:w="173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ascii="仿宋" w:hAnsi="仿宋" w:eastAsia="仿宋" w:cs="微软雅黑"/>
                <w:color w:val="010101"/>
                <w:szCs w:val="21"/>
              </w:rPr>
            </w:pPr>
          </w:p>
        </w:tc>
        <w:tc>
          <w:tcPr>
            <w:tcW w:w="162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ascii="仿宋" w:hAnsi="仿宋" w:eastAsia="仿宋" w:cs="微软雅黑"/>
                <w:color w:val="010101"/>
                <w:szCs w:val="21"/>
              </w:rPr>
            </w:pPr>
          </w:p>
        </w:tc>
        <w:tc>
          <w:tcPr>
            <w:tcW w:w="134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ascii="仿宋" w:hAnsi="仿宋" w:eastAsia="仿宋" w:cs="微软雅黑"/>
                <w:color w:val="010101"/>
                <w:szCs w:val="21"/>
              </w:rPr>
            </w:pPr>
          </w:p>
        </w:tc>
        <w:tc>
          <w:tcPr>
            <w:tcW w:w="184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微软雅黑"/>
                <w:color w:val="010101"/>
                <w:szCs w:val="21"/>
              </w:rPr>
            </w:pPr>
          </w:p>
        </w:tc>
      </w:tr>
    </w:tbl>
    <w:p>
      <w:pPr>
        <w:adjustRightInd w:val="0"/>
        <w:snapToGrid w:val="0"/>
        <w:spacing w:line="600" w:lineRule="exact"/>
        <w:ind w:firstLine="640" w:firstLineChars="200"/>
        <w:rPr>
          <w:rFonts w:ascii="仿宋" w:hAnsi="仿宋" w:eastAsia="仿宋"/>
          <w:color w:val="000000"/>
          <w:sz w:val="32"/>
          <w:szCs w:val="32"/>
        </w:rPr>
      </w:pPr>
      <w:r>
        <w:rPr>
          <w:rFonts w:hint="eastAsia" w:ascii="仿宋" w:hAnsi="仿宋" w:eastAsia="仿宋"/>
          <w:sz w:val="32"/>
          <w:szCs w:val="32"/>
        </w:rPr>
        <w:t>根据年初预算批复，与上年比较，</w:t>
      </w:r>
      <w:r>
        <w:rPr>
          <w:rFonts w:hint="eastAsia" w:ascii="仿宋" w:hAnsi="仿宋" w:eastAsia="仿宋"/>
          <w:color w:val="000000"/>
          <w:sz w:val="32"/>
          <w:szCs w:val="32"/>
        </w:rPr>
        <w:t>较上年有增加，因为2019年预算未包含转移性支出和村、社区经费，2020年预算包含。</w:t>
      </w: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2.财政预算整体支出使用范围、方向和内容</w:t>
      </w:r>
    </w:p>
    <w:tbl>
      <w:tblPr>
        <w:tblStyle w:val="9"/>
        <w:tblW w:w="0" w:type="auto"/>
        <w:jc w:val="center"/>
        <w:tblLayout w:type="fixed"/>
        <w:tblCellMar>
          <w:top w:w="0" w:type="dxa"/>
          <w:left w:w="0" w:type="dxa"/>
          <w:bottom w:w="0" w:type="dxa"/>
          <w:right w:w="0" w:type="dxa"/>
        </w:tblCellMar>
      </w:tblPr>
      <w:tblGrid>
        <w:gridCol w:w="2859"/>
        <w:gridCol w:w="1748"/>
        <w:gridCol w:w="1331"/>
        <w:gridCol w:w="2379"/>
      </w:tblGrid>
      <w:tr>
        <w:tblPrEx>
          <w:tblCellMar>
            <w:top w:w="0" w:type="dxa"/>
            <w:left w:w="0" w:type="dxa"/>
            <w:bottom w:w="0" w:type="dxa"/>
            <w:right w:w="0" w:type="dxa"/>
          </w:tblCellMar>
        </w:tblPrEx>
        <w:trPr>
          <w:trHeight w:val="276" w:hRule="atLeast"/>
          <w:jc w:val="center"/>
        </w:trPr>
        <w:tc>
          <w:tcPr>
            <w:tcW w:w="2859"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支出项目</w:t>
            </w:r>
          </w:p>
        </w:tc>
        <w:tc>
          <w:tcPr>
            <w:tcW w:w="174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基本支出</w:t>
            </w:r>
          </w:p>
        </w:tc>
        <w:tc>
          <w:tcPr>
            <w:tcW w:w="1331"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项目支出</w:t>
            </w:r>
          </w:p>
        </w:tc>
        <w:tc>
          <w:tcPr>
            <w:tcW w:w="2379"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合计</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工资福利支出</w:t>
            </w:r>
          </w:p>
        </w:tc>
        <w:tc>
          <w:tcPr>
            <w:tcW w:w="174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1636</w:t>
            </w:r>
          </w:p>
        </w:tc>
        <w:tc>
          <w:tcPr>
            <w:tcW w:w="133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237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1636</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商品和服务支出</w:t>
            </w:r>
          </w:p>
        </w:tc>
        <w:tc>
          <w:tcPr>
            <w:tcW w:w="174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1337</w:t>
            </w:r>
          </w:p>
        </w:tc>
        <w:tc>
          <w:tcPr>
            <w:tcW w:w="133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237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1337</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对个人和家庭的补助</w:t>
            </w:r>
          </w:p>
        </w:tc>
        <w:tc>
          <w:tcPr>
            <w:tcW w:w="174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120</w:t>
            </w:r>
          </w:p>
        </w:tc>
        <w:tc>
          <w:tcPr>
            <w:tcW w:w="133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237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120</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174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133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237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r>
      <w:tr>
        <w:tblPrEx>
          <w:tblCellMar>
            <w:top w:w="0" w:type="dxa"/>
            <w:left w:w="0" w:type="dxa"/>
            <w:bottom w:w="0" w:type="dxa"/>
            <w:right w:w="0" w:type="dxa"/>
          </w:tblCellMar>
        </w:tblPrEx>
        <w:trPr>
          <w:trHeight w:val="467" w:hRule="atLeast"/>
          <w:jc w:val="center"/>
        </w:trPr>
        <w:tc>
          <w:tcPr>
            <w:tcW w:w="2859" w:type="dxa"/>
            <w:tcBorders>
              <w:top w:val="nil"/>
              <w:left w:val="single" w:color="auto" w:sz="8" w:space="0"/>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合</w:t>
            </w:r>
            <w:r>
              <w:rPr>
                <w:rFonts w:hint="eastAsia" w:ascii="宋体" w:hAnsi="宋体" w:eastAsia="仿宋" w:cs="宋体"/>
                <w:bCs/>
                <w:color w:val="000000"/>
                <w:kern w:val="0"/>
                <w:szCs w:val="21"/>
              </w:rPr>
              <w:t> </w:t>
            </w:r>
            <w:r>
              <w:rPr>
                <w:rFonts w:hint="eastAsia" w:ascii="仿宋" w:hAnsi="仿宋" w:eastAsia="仿宋" w:cs="宋体"/>
                <w:bCs/>
                <w:color w:val="000000"/>
                <w:kern w:val="0"/>
                <w:szCs w:val="21"/>
              </w:rPr>
              <w:t>计</w:t>
            </w:r>
          </w:p>
        </w:tc>
        <w:tc>
          <w:tcPr>
            <w:tcW w:w="1748"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3093</w:t>
            </w:r>
          </w:p>
        </w:tc>
        <w:tc>
          <w:tcPr>
            <w:tcW w:w="1331"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2379"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3093</w:t>
            </w:r>
          </w:p>
        </w:tc>
      </w:tr>
    </w:tbl>
    <w:p>
      <w:pPr>
        <w:adjustRightInd w:val="0"/>
        <w:snapToGrid w:val="0"/>
        <w:spacing w:line="600" w:lineRule="exact"/>
        <w:ind w:left="480" w:hanging="48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二</w:t>
      </w:r>
      <w:r>
        <w:rPr>
          <w:rFonts w:hint="eastAsia" w:ascii="仿宋" w:hAnsi="仿宋" w:eastAsia="仿宋"/>
          <w:sz w:val="32"/>
          <w:szCs w:val="32"/>
        </w:rPr>
        <w:t>）年度收支决算情况</w:t>
      </w:r>
    </w:p>
    <w:p>
      <w:pPr>
        <w:adjustRightInd w:val="0"/>
        <w:snapToGrid w:val="0"/>
        <w:spacing w:line="600" w:lineRule="exact"/>
        <w:ind w:left="480" w:hanging="480"/>
        <w:rPr>
          <w:rFonts w:ascii="仿宋" w:hAnsi="仿宋" w:eastAsia="仿宋"/>
          <w:sz w:val="32"/>
          <w:szCs w:val="32"/>
        </w:rPr>
      </w:pPr>
      <w:r>
        <w:rPr>
          <w:rFonts w:hint="eastAsia" w:ascii="仿宋" w:hAnsi="仿宋" w:eastAsia="仿宋"/>
          <w:sz w:val="32"/>
          <w:szCs w:val="32"/>
        </w:rPr>
        <w:t>1.年度收入决算</w:t>
      </w:r>
    </w:p>
    <w:tbl>
      <w:tblPr>
        <w:tblStyle w:val="9"/>
        <w:tblW w:w="0" w:type="auto"/>
        <w:jc w:val="center"/>
        <w:tblLayout w:type="fixed"/>
        <w:tblCellMar>
          <w:top w:w="0" w:type="dxa"/>
          <w:left w:w="0" w:type="dxa"/>
          <w:bottom w:w="0" w:type="dxa"/>
          <w:right w:w="0" w:type="dxa"/>
        </w:tblCellMar>
      </w:tblPr>
      <w:tblGrid>
        <w:gridCol w:w="2063"/>
        <w:gridCol w:w="1693"/>
        <w:gridCol w:w="1820"/>
        <w:gridCol w:w="2264"/>
      </w:tblGrid>
      <w:tr>
        <w:tblPrEx>
          <w:tblCellMar>
            <w:top w:w="0" w:type="dxa"/>
            <w:left w:w="0" w:type="dxa"/>
            <w:bottom w:w="0" w:type="dxa"/>
            <w:right w:w="0" w:type="dxa"/>
          </w:tblCellMar>
        </w:tblPrEx>
        <w:trPr>
          <w:trHeight w:val="564" w:hRule="atLeast"/>
          <w:jc w:val="center"/>
        </w:trPr>
        <w:tc>
          <w:tcPr>
            <w:tcW w:w="2063"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收入来源</w:t>
            </w:r>
          </w:p>
        </w:tc>
        <w:tc>
          <w:tcPr>
            <w:tcW w:w="1693"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预算金额</w:t>
            </w:r>
          </w:p>
        </w:tc>
        <w:tc>
          <w:tcPr>
            <w:tcW w:w="1820"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决算金额</w:t>
            </w:r>
          </w:p>
        </w:tc>
        <w:tc>
          <w:tcPr>
            <w:tcW w:w="2264"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差额</w:t>
            </w:r>
          </w:p>
        </w:tc>
      </w:tr>
      <w:tr>
        <w:tblPrEx>
          <w:tblCellMar>
            <w:top w:w="0" w:type="dxa"/>
            <w:left w:w="0" w:type="dxa"/>
            <w:bottom w:w="0" w:type="dxa"/>
            <w:right w:w="0" w:type="dxa"/>
          </w:tblCellMar>
        </w:tblPrEx>
        <w:trPr>
          <w:trHeight w:val="599" w:hRule="atLeast"/>
          <w:jc w:val="center"/>
        </w:trPr>
        <w:tc>
          <w:tcPr>
            <w:tcW w:w="206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财政拨款收入</w:t>
            </w:r>
          </w:p>
        </w:tc>
        <w:tc>
          <w:tcPr>
            <w:tcW w:w="169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3093</w:t>
            </w:r>
          </w:p>
        </w:tc>
        <w:tc>
          <w:tcPr>
            <w:tcW w:w="1820"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3273.47</w:t>
            </w:r>
          </w:p>
        </w:tc>
        <w:tc>
          <w:tcPr>
            <w:tcW w:w="226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180</w:t>
            </w:r>
          </w:p>
        </w:tc>
      </w:tr>
      <w:tr>
        <w:tblPrEx>
          <w:tblCellMar>
            <w:top w:w="0" w:type="dxa"/>
            <w:left w:w="0" w:type="dxa"/>
            <w:bottom w:w="0" w:type="dxa"/>
            <w:right w:w="0" w:type="dxa"/>
          </w:tblCellMar>
        </w:tblPrEx>
        <w:trPr>
          <w:trHeight w:val="599" w:hRule="atLeast"/>
          <w:jc w:val="center"/>
        </w:trPr>
        <w:tc>
          <w:tcPr>
            <w:tcW w:w="206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169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1820"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226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r>
    </w:tbl>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有差额因为开展了创卫，增加了支出。</w:t>
      </w:r>
    </w:p>
    <w:p>
      <w:pPr>
        <w:adjustRightInd w:val="0"/>
        <w:snapToGrid w:val="0"/>
        <w:spacing w:line="600" w:lineRule="exact"/>
        <w:ind w:left="480" w:hanging="480"/>
        <w:rPr>
          <w:rFonts w:ascii="仿宋" w:hAnsi="仿宋" w:eastAsia="仿宋"/>
          <w:sz w:val="32"/>
          <w:szCs w:val="32"/>
        </w:rPr>
      </w:pPr>
      <w:r>
        <w:rPr>
          <w:rFonts w:hint="eastAsia" w:ascii="仿宋" w:hAnsi="仿宋" w:eastAsia="仿宋"/>
          <w:sz w:val="32"/>
          <w:szCs w:val="32"/>
        </w:rPr>
        <w:t>2.年度预算支出决算及结余</w:t>
      </w:r>
    </w:p>
    <w:tbl>
      <w:tblPr>
        <w:tblStyle w:val="9"/>
        <w:tblW w:w="7953" w:type="dxa"/>
        <w:tblInd w:w="185" w:type="dxa"/>
        <w:tblLayout w:type="fixed"/>
        <w:tblCellMar>
          <w:top w:w="0" w:type="dxa"/>
          <w:left w:w="0" w:type="dxa"/>
          <w:bottom w:w="0" w:type="dxa"/>
          <w:right w:w="0" w:type="dxa"/>
        </w:tblCellMar>
      </w:tblPr>
      <w:tblGrid>
        <w:gridCol w:w="1739"/>
        <w:gridCol w:w="2268"/>
        <w:gridCol w:w="1984"/>
        <w:gridCol w:w="1962"/>
      </w:tblGrid>
      <w:tr>
        <w:tblPrEx>
          <w:tblCellMar>
            <w:top w:w="0" w:type="dxa"/>
            <w:left w:w="0" w:type="dxa"/>
            <w:bottom w:w="0" w:type="dxa"/>
            <w:right w:w="0" w:type="dxa"/>
          </w:tblCellMar>
        </w:tblPrEx>
        <w:trPr>
          <w:trHeight w:val="517" w:hRule="atLeast"/>
        </w:trPr>
        <w:tc>
          <w:tcPr>
            <w:tcW w:w="1739" w:type="dxa"/>
            <w:tcBorders>
              <w:top w:val="single" w:color="000000" w:sz="8" w:space="0"/>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预算支出类别</w:t>
            </w:r>
          </w:p>
        </w:tc>
        <w:tc>
          <w:tcPr>
            <w:tcW w:w="2268"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预算金额</w:t>
            </w:r>
          </w:p>
        </w:tc>
        <w:tc>
          <w:tcPr>
            <w:tcW w:w="1984"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决算金额</w:t>
            </w:r>
          </w:p>
        </w:tc>
        <w:tc>
          <w:tcPr>
            <w:tcW w:w="1962"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增减金额</w:t>
            </w:r>
          </w:p>
        </w:tc>
      </w:tr>
      <w:tr>
        <w:tblPrEx>
          <w:tblCellMar>
            <w:top w:w="0" w:type="dxa"/>
            <w:left w:w="0" w:type="dxa"/>
            <w:bottom w:w="0" w:type="dxa"/>
            <w:right w:w="0" w:type="dxa"/>
          </w:tblCellMar>
        </w:tblPrEx>
        <w:trPr>
          <w:trHeight w:val="523" w:hRule="atLeast"/>
        </w:trPr>
        <w:tc>
          <w:tcPr>
            <w:tcW w:w="1739"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基本支出</w:t>
            </w:r>
          </w:p>
        </w:tc>
        <w:tc>
          <w:tcPr>
            <w:tcW w:w="226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3093</w:t>
            </w:r>
          </w:p>
        </w:tc>
        <w:tc>
          <w:tcPr>
            <w:tcW w:w="198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3248.60</w:t>
            </w:r>
          </w:p>
        </w:tc>
        <w:tc>
          <w:tcPr>
            <w:tcW w:w="1962"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155</w:t>
            </w:r>
          </w:p>
        </w:tc>
      </w:tr>
      <w:tr>
        <w:tblPrEx>
          <w:tblCellMar>
            <w:top w:w="0" w:type="dxa"/>
            <w:left w:w="0" w:type="dxa"/>
            <w:bottom w:w="0" w:type="dxa"/>
            <w:right w:w="0" w:type="dxa"/>
          </w:tblCellMar>
        </w:tblPrEx>
        <w:trPr>
          <w:trHeight w:val="523" w:hRule="atLeast"/>
        </w:trPr>
        <w:tc>
          <w:tcPr>
            <w:tcW w:w="1739"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项目支出</w:t>
            </w:r>
          </w:p>
        </w:tc>
        <w:tc>
          <w:tcPr>
            <w:tcW w:w="226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198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1962"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r>
      <w:tr>
        <w:tblPrEx>
          <w:tblCellMar>
            <w:top w:w="0" w:type="dxa"/>
            <w:left w:w="0" w:type="dxa"/>
            <w:bottom w:w="0" w:type="dxa"/>
            <w:right w:w="0" w:type="dxa"/>
          </w:tblCellMar>
        </w:tblPrEx>
        <w:trPr>
          <w:trHeight w:val="523" w:hRule="atLeast"/>
        </w:trPr>
        <w:tc>
          <w:tcPr>
            <w:tcW w:w="1739"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226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198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1962"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r>
      <w:tr>
        <w:tblPrEx>
          <w:tblCellMar>
            <w:top w:w="0" w:type="dxa"/>
            <w:left w:w="0" w:type="dxa"/>
            <w:bottom w:w="0" w:type="dxa"/>
            <w:right w:w="0" w:type="dxa"/>
          </w:tblCellMar>
        </w:tblPrEx>
        <w:trPr>
          <w:trHeight w:val="400" w:hRule="atLeast"/>
        </w:trPr>
        <w:tc>
          <w:tcPr>
            <w:tcW w:w="1739" w:type="dxa"/>
            <w:tcBorders>
              <w:top w:val="nil"/>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小计</w:t>
            </w:r>
          </w:p>
        </w:tc>
        <w:tc>
          <w:tcPr>
            <w:tcW w:w="2268"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3093</w:t>
            </w:r>
          </w:p>
        </w:tc>
        <w:tc>
          <w:tcPr>
            <w:tcW w:w="1984"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3248.60</w:t>
            </w:r>
          </w:p>
        </w:tc>
        <w:tc>
          <w:tcPr>
            <w:tcW w:w="1962"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155</w:t>
            </w:r>
          </w:p>
        </w:tc>
      </w:tr>
    </w:tbl>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有差额因为开展了创卫，增加了支出。</w:t>
      </w:r>
    </w:p>
    <w:p>
      <w:pPr>
        <w:adjustRightInd w:val="0"/>
        <w:snapToGrid w:val="0"/>
        <w:spacing w:line="600" w:lineRule="exact"/>
        <w:ind w:left="480" w:hanging="480"/>
        <w:outlineLvl w:val="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部门整体支出管理及使用情况</w:t>
      </w:r>
    </w:p>
    <w:p>
      <w:pPr>
        <w:pStyle w:val="3"/>
        <w:widowControl/>
        <w:spacing w:before="0" w:beforeAutospacing="0" w:after="0" w:afterAutospacing="0" w:line="600" w:lineRule="exact"/>
        <w:jc w:val="both"/>
        <w:rPr>
          <w:rFonts w:hint="default" w:ascii="仿宋" w:hAnsi="仿宋" w:eastAsia="仿宋"/>
          <w:b w:val="0"/>
          <w:kern w:val="2"/>
          <w:sz w:val="32"/>
          <w:szCs w:val="32"/>
        </w:rPr>
      </w:pPr>
      <w:bookmarkStart w:id="0" w:name="_Toc419142208"/>
      <w:r>
        <w:rPr>
          <w:rFonts w:ascii="仿宋" w:hAnsi="仿宋" w:eastAsia="仿宋"/>
          <w:b w:val="0"/>
          <w:kern w:val="2"/>
          <w:sz w:val="32"/>
          <w:szCs w:val="32"/>
        </w:rPr>
        <w:t>（一）基本支出管理</w:t>
      </w:r>
      <w:bookmarkEnd w:id="0"/>
    </w:p>
    <w:p>
      <w:pPr>
        <w:pStyle w:val="4"/>
        <w:widowControl/>
        <w:spacing w:before="0" w:beforeAutospacing="0" w:after="0" w:afterAutospacing="0" w:line="600" w:lineRule="exact"/>
        <w:rPr>
          <w:rFonts w:hint="default" w:ascii="仿宋" w:hAnsi="仿宋" w:eastAsia="仿宋"/>
          <w:b w:val="0"/>
          <w:kern w:val="2"/>
          <w:sz w:val="32"/>
          <w:szCs w:val="32"/>
        </w:rPr>
      </w:pPr>
      <w:r>
        <w:rPr>
          <w:rFonts w:ascii="仿宋" w:hAnsi="仿宋" w:eastAsia="仿宋"/>
          <w:b w:val="0"/>
          <w:kern w:val="2"/>
          <w:sz w:val="32"/>
          <w:szCs w:val="32"/>
        </w:rPr>
        <w:t>1、基本支出总额使用和管理</w:t>
      </w:r>
    </w:p>
    <w:tbl>
      <w:tblPr>
        <w:tblStyle w:val="9"/>
        <w:tblW w:w="0" w:type="auto"/>
        <w:jc w:val="center"/>
        <w:tblLayout w:type="fixed"/>
        <w:tblCellMar>
          <w:top w:w="0" w:type="dxa"/>
          <w:left w:w="0" w:type="dxa"/>
          <w:bottom w:w="0" w:type="dxa"/>
          <w:right w:w="0" w:type="dxa"/>
        </w:tblCellMar>
      </w:tblPr>
      <w:tblGrid>
        <w:gridCol w:w="2392"/>
        <w:gridCol w:w="1666"/>
        <w:gridCol w:w="1604"/>
        <w:gridCol w:w="2438"/>
      </w:tblGrid>
      <w:tr>
        <w:tblPrEx>
          <w:tblCellMar>
            <w:top w:w="0" w:type="dxa"/>
            <w:left w:w="0" w:type="dxa"/>
            <w:bottom w:w="0" w:type="dxa"/>
            <w:right w:w="0" w:type="dxa"/>
          </w:tblCellMar>
        </w:tblPrEx>
        <w:trPr>
          <w:trHeight w:val="401" w:hRule="atLeast"/>
          <w:jc w:val="center"/>
        </w:trPr>
        <w:tc>
          <w:tcPr>
            <w:tcW w:w="2392"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宋体" w:hAnsi="宋体" w:eastAsia="仿宋" w:cs="宋体"/>
                <w:bCs/>
                <w:color w:val="000000"/>
                <w:kern w:val="0"/>
                <w:szCs w:val="21"/>
              </w:rPr>
              <w:t> </w:t>
            </w:r>
            <w:r>
              <w:rPr>
                <w:rFonts w:hint="eastAsia" w:ascii="仿宋" w:hAnsi="仿宋" w:eastAsia="仿宋" w:cs="宋体"/>
                <w:bCs/>
                <w:color w:val="000000"/>
                <w:kern w:val="0"/>
                <w:szCs w:val="21"/>
              </w:rPr>
              <w:t>预决算支出项目</w:t>
            </w:r>
          </w:p>
        </w:tc>
        <w:tc>
          <w:tcPr>
            <w:tcW w:w="1666"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预算金额</w:t>
            </w:r>
          </w:p>
        </w:tc>
        <w:tc>
          <w:tcPr>
            <w:tcW w:w="1604"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决算金额</w:t>
            </w:r>
          </w:p>
        </w:tc>
        <w:tc>
          <w:tcPr>
            <w:tcW w:w="243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节约/超支金额</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工资福利支出</w:t>
            </w:r>
          </w:p>
        </w:tc>
        <w:tc>
          <w:tcPr>
            <w:tcW w:w="166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1636</w:t>
            </w:r>
          </w:p>
        </w:tc>
        <w:tc>
          <w:tcPr>
            <w:tcW w:w="160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2255</w:t>
            </w:r>
          </w:p>
        </w:tc>
        <w:tc>
          <w:tcPr>
            <w:tcW w:w="243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619</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商品和服务支出</w:t>
            </w:r>
          </w:p>
        </w:tc>
        <w:tc>
          <w:tcPr>
            <w:tcW w:w="166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1337</w:t>
            </w:r>
          </w:p>
        </w:tc>
        <w:tc>
          <w:tcPr>
            <w:tcW w:w="160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697</w:t>
            </w:r>
          </w:p>
        </w:tc>
        <w:tc>
          <w:tcPr>
            <w:tcW w:w="243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-640</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对个人和家庭的补助</w:t>
            </w:r>
          </w:p>
        </w:tc>
        <w:tc>
          <w:tcPr>
            <w:tcW w:w="166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120</w:t>
            </w:r>
          </w:p>
        </w:tc>
        <w:tc>
          <w:tcPr>
            <w:tcW w:w="160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296</w:t>
            </w:r>
          </w:p>
        </w:tc>
        <w:tc>
          <w:tcPr>
            <w:tcW w:w="243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176</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166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160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243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r>
      <w:tr>
        <w:tblPrEx>
          <w:tblCellMar>
            <w:top w:w="0" w:type="dxa"/>
            <w:left w:w="0" w:type="dxa"/>
            <w:bottom w:w="0" w:type="dxa"/>
            <w:right w:w="0" w:type="dxa"/>
          </w:tblCellMar>
        </w:tblPrEx>
        <w:trPr>
          <w:trHeight w:val="495" w:hRule="atLeast"/>
          <w:jc w:val="center"/>
        </w:trPr>
        <w:tc>
          <w:tcPr>
            <w:tcW w:w="2392" w:type="dxa"/>
            <w:tcBorders>
              <w:top w:val="nil"/>
              <w:left w:val="single" w:color="auto" w:sz="8" w:space="0"/>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合计</w:t>
            </w:r>
          </w:p>
        </w:tc>
        <w:tc>
          <w:tcPr>
            <w:tcW w:w="1666"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3093</w:t>
            </w:r>
          </w:p>
        </w:tc>
        <w:tc>
          <w:tcPr>
            <w:tcW w:w="1604"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3248.60</w:t>
            </w:r>
          </w:p>
        </w:tc>
        <w:tc>
          <w:tcPr>
            <w:tcW w:w="2438"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155</w:t>
            </w:r>
          </w:p>
        </w:tc>
      </w:tr>
    </w:tbl>
    <w:p>
      <w:pPr>
        <w:adjustRightInd w:val="0"/>
        <w:snapToGrid w:val="0"/>
        <w:spacing w:line="600" w:lineRule="exact"/>
        <w:ind w:left="480" w:hanging="480"/>
        <w:rPr>
          <w:rFonts w:ascii="仿宋" w:hAnsi="仿宋" w:eastAsia="仿宋"/>
          <w:sz w:val="32"/>
          <w:szCs w:val="32"/>
        </w:rPr>
      </w:pPr>
      <w:r>
        <w:rPr>
          <w:rFonts w:hint="eastAsia" w:ascii="仿宋" w:hAnsi="仿宋" w:eastAsia="仿宋"/>
          <w:sz w:val="32"/>
          <w:szCs w:val="32"/>
        </w:rPr>
        <w:t>2、基本支出中各费用明细支出管理</w:t>
      </w:r>
    </w:p>
    <w:p>
      <w:pPr>
        <w:adjustRightInd w:val="0"/>
        <w:snapToGrid w:val="0"/>
        <w:spacing w:line="600" w:lineRule="exact"/>
        <w:ind w:left="480" w:hanging="480"/>
        <w:rPr>
          <w:rFonts w:ascii="仿宋" w:hAnsi="仿宋" w:eastAsia="仿宋"/>
          <w:sz w:val="32"/>
          <w:szCs w:val="32"/>
        </w:rPr>
      </w:pPr>
      <w:r>
        <w:rPr>
          <w:rFonts w:hint="eastAsia" w:ascii="仿宋" w:hAnsi="仿宋" w:eastAsia="仿宋"/>
          <w:sz w:val="32"/>
          <w:szCs w:val="32"/>
        </w:rPr>
        <w:t>（1）工资福利支出</w:t>
      </w:r>
    </w:p>
    <w:tbl>
      <w:tblPr>
        <w:tblStyle w:val="9"/>
        <w:tblW w:w="0" w:type="auto"/>
        <w:jc w:val="center"/>
        <w:tblLayout w:type="fixed"/>
        <w:tblCellMar>
          <w:top w:w="0" w:type="dxa"/>
          <w:left w:w="0" w:type="dxa"/>
          <w:bottom w:w="0" w:type="dxa"/>
          <w:right w:w="0" w:type="dxa"/>
        </w:tblCellMar>
      </w:tblPr>
      <w:tblGrid>
        <w:gridCol w:w="2431"/>
        <w:gridCol w:w="1134"/>
        <w:gridCol w:w="1134"/>
        <w:gridCol w:w="1417"/>
        <w:gridCol w:w="1664"/>
      </w:tblGrid>
      <w:tr>
        <w:tblPrEx>
          <w:tblCellMar>
            <w:top w:w="0" w:type="dxa"/>
            <w:left w:w="0" w:type="dxa"/>
            <w:bottom w:w="0" w:type="dxa"/>
            <w:right w:w="0" w:type="dxa"/>
          </w:tblCellMar>
        </w:tblPrEx>
        <w:trPr>
          <w:trHeight w:val="888" w:hRule="atLeast"/>
          <w:jc w:val="center"/>
        </w:trPr>
        <w:tc>
          <w:tcPr>
            <w:tcW w:w="2431" w:type="dxa"/>
            <w:tcBorders>
              <w:top w:val="single" w:color="000000" w:sz="8" w:space="0"/>
              <w:left w:val="single" w:color="000000" w:sz="8" w:space="0"/>
              <w:bottom w:val="single" w:color="000000" w:sz="8" w:space="0"/>
              <w:right w:val="single" w:color="000000" w:sz="8" w:space="0"/>
            </w:tcBorders>
            <w:shd w:val="clear" w:color="auto" w:fill="D9D9D9"/>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费用项目</w:t>
            </w:r>
          </w:p>
        </w:tc>
        <w:tc>
          <w:tcPr>
            <w:tcW w:w="1134" w:type="dxa"/>
            <w:tcBorders>
              <w:top w:val="single" w:color="000000" w:sz="8" w:space="0"/>
              <w:left w:val="nil"/>
              <w:bottom w:val="single" w:color="000000" w:sz="8" w:space="0"/>
              <w:right w:val="single" w:color="000000" w:sz="8" w:space="0"/>
            </w:tcBorders>
            <w:shd w:val="clear" w:color="auto" w:fill="D9D9D9"/>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预算金额</w:t>
            </w:r>
          </w:p>
        </w:tc>
        <w:tc>
          <w:tcPr>
            <w:tcW w:w="1134" w:type="dxa"/>
            <w:tcBorders>
              <w:top w:val="single" w:color="000000" w:sz="8" w:space="0"/>
              <w:left w:val="nil"/>
              <w:bottom w:val="single" w:color="000000" w:sz="8" w:space="0"/>
              <w:right w:val="single" w:color="000000" w:sz="8" w:space="0"/>
            </w:tcBorders>
            <w:shd w:val="clear" w:color="auto" w:fill="D9D9D9"/>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决算金额</w:t>
            </w:r>
          </w:p>
        </w:tc>
        <w:tc>
          <w:tcPr>
            <w:tcW w:w="1417" w:type="dxa"/>
            <w:tcBorders>
              <w:top w:val="single" w:color="000000" w:sz="8" w:space="0"/>
              <w:left w:val="nil"/>
              <w:bottom w:val="single" w:color="000000" w:sz="8" w:space="0"/>
              <w:right w:val="single" w:color="000000" w:sz="8" w:space="0"/>
            </w:tcBorders>
            <w:shd w:val="clear" w:color="auto" w:fill="D9D9D9"/>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节约/超支金额</w:t>
            </w:r>
          </w:p>
        </w:tc>
        <w:tc>
          <w:tcPr>
            <w:tcW w:w="1664" w:type="dxa"/>
            <w:tcBorders>
              <w:top w:val="single" w:color="000000" w:sz="8" w:space="0"/>
              <w:left w:val="nil"/>
              <w:bottom w:val="single" w:color="000000" w:sz="8" w:space="0"/>
              <w:right w:val="single" w:color="000000" w:sz="8" w:space="0"/>
            </w:tcBorders>
            <w:shd w:val="clear" w:color="auto" w:fill="D9D9D9"/>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节约/超支率</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基本工资</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350</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581.4</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231.4</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66%</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津贴补贴</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105.7</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422</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316.3</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299%</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奖金</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73.58</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170</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96.42</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131%</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伙食补助费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70.52</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70.52</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绩效工资</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136.99</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216.93</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79.94</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58%</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机关事业单位基本养老保险缴费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255</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139.27</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-115.73</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-61%</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职业年金缴费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职工基本医疗保险缴费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145.6</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80.46</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-65.14</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-44%</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公务员医疗补助缴费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其他社会保障缴费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381.33</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13.23</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-368.1</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-96%</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住房公积金</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187.8</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-187.8</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医疗费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其他工资福利支出</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560.85</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560.85</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411" w:hRule="atLeast"/>
          <w:jc w:val="center"/>
        </w:trPr>
        <w:tc>
          <w:tcPr>
            <w:tcW w:w="2431" w:type="dxa"/>
            <w:tcBorders>
              <w:top w:val="nil"/>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合计</w:t>
            </w:r>
          </w:p>
        </w:tc>
        <w:tc>
          <w:tcPr>
            <w:tcW w:w="1134"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1636</w:t>
            </w:r>
          </w:p>
        </w:tc>
        <w:tc>
          <w:tcPr>
            <w:tcW w:w="1134"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2255</w:t>
            </w:r>
          </w:p>
        </w:tc>
        <w:tc>
          <w:tcPr>
            <w:tcW w:w="1417"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619</w:t>
            </w:r>
          </w:p>
        </w:tc>
        <w:tc>
          <w:tcPr>
            <w:tcW w:w="1664"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bl>
    <w:p>
      <w:pPr>
        <w:adjustRightInd w:val="0"/>
        <w:snapToGrid w:val="0"/>
        <w:spacing w:line="600" w:lineRule="exact"/>
        <w:ind w:left="480" w:hanging="480"/>
        <w:rPr>
          <w:rFonts w:ascii="仿宋" w:hAnsi="仿宋" w:eastAsia="仿宋"/>
          <w:color w:val="000000"/>
          <w:sz w:val="32"/>
          <w:szCs w:val="32"/>
        </w:rPr>
      </w:pPr>
      <w:r>
        <w:rPr>
          <w:rFonts w:hint="eastAsia" w:ascii="仿宋" w:hAnsi="仿宋" w:eastAsia="仿宋"/>
          <w:color w:val="000000"/>
          <w:sz w:val="32"/>
          <w:szCs w:val="32"/>
        </w:rPr>
        <w:t>工资福利支出有变动，因为人员、工资、奖金变动；职工基本医疗保险、其他社会保险和住房公积金都在其他工资福利支出预算。</w:t>
      </w:r>
    </w:p>
    <w:p>
      <w:pPr>
        <w:adjustRightInd w:val="0"/>
        <w:snapToGrid w:val="0"/>
        <w:spacing w:line="600" w:lineRule="exact"/>
        <w:ind w:left="480" w:hanging="480"/>
        <w:rPr>
          <w:rFonts w:ascii="仿宋" w:hAnsi="仿宋" w:eastAsia="仿宋"/>
          <w:sz w:val="32"/>
          <w:szCs w:val="32"/>
        </w:rPr>
      </w:pPr>
      <w:r>
        <w:rPr>
          <w:rFonts w:hint="eastAsia" w:ascii="仿宋" w:hAnsi="仿宋" w:eastAsia="仿宋"/>
          <w:sz w:val="32"/>
          <w:szCs w:val="32"/>
        </w:rPr>
        <w:t>（2）商品和服务支出</w:t>
      </w:r>
    </w:p>
    <w:tbl>
      <w:tblPr>
        <w:tblStyle w:val="9"/>
        <w:tblW w:w="0" w:type="auto"/>
        <w:jc w:val="center"/>
        <w:tblLayout w:type="fixed"/>
        <w:tblCellMar>
          <w:top w:w="0" w:type="dxa"/>
          <w:left w:w="0" w:type="dxa"/>
          <w:bottom w:w="0" w:type="dxa"/>
          <w:right w:w="0" w:type="dxa"/>
        </w:tblCellMar>
      </w:tblPr>
      <w:tblGrid>
        <w:gridCol w:w="2133"/>
        <w:gridCol w:w="1398"/>
        <w:gridCol w:w="1537"/>
        <w:gridCol w:w="1429"/>
        <w:gridCol w:w="1643"/>
      </w:tblGrid>
      <w:tr>
        <w:tblPrEx>
          <w:tblCellMar>
            <w:top w:w="0" w:type="dxa"/>
            <w:left w:w="0" w:type="dxa"/>
            <w:bottom w:w="0" w:type="dxa"/>
            <w:right w:w="0" w:type="dxa"/>
          </w:tblCellMar>
        </w:tblPrEx>
        <w:trPr>
          <w:trHeight w:val="343" w:hRule="atLeast"/>
          <w:tblHeader/>
          <w:jc w:val="center"/>
        </w:trPr>
        <w:tc>
          <w:tcPr>
            <w:tcW w:w="2133"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bookmarkStart w:id="2" w:name="_GoBack"/>
            <w:bookmarkEnd w:id="2"/>
            <w:r>
              <w:rPr>
                <w:rFonts w:hint="eastAsia" w:ascii="仿宋" w:hAnsi="仿宋" w:eastAsia="仿宋" w:cs="宋体"/>
                <w:color w:val="010101"/>
                <w:kern w:val="0"/>
                <w:szCs w:val="21"/>
              </w:rPr>
              <w:t>项目</w:t>
            </w:r>
          </w:p>
        </w:tc>
        <w:tc>
          <w:tcPr>
            <w:tcW w:w="139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预算金额</w:t>
            </w:r>
          </w:p>
        </w:tc>
        <w:tc>
          <w:tcPr>
            <w:tcW w:w="1537"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决算金额</w:t>
            </w:r>
          </w:p>
        </w:tc>
        <w:tc>
          <w:tcPr>
            <w:tcW w:w="1429"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增减额</w:t>
            </w:r>
          </w:p>
        </w:tc>
        <w:tc>
          <w:tcPr>
            <w:tcW w:w="1643"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增减率</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办公费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142</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60.55</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-81.45</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-57%</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印刷费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48</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158.16</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110.16</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229%</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咨询费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手续费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210" w:hRule="atLeast"/>
          <w:jc w:val="center"/>
        </w:trPr>
        <w:tc>
          <w:tcPr>
            <w:tcW w:w="2133" w:type="dxa"/>
            <w:tcBorders>
              <w:top w:val="nil"/>
              <w:left w:val="single" w:color="auto" w:sz="8" w:space="0"/>
              <w:bottom w:val="single" w:color="auto" w:sz="4"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电费</w:t>
            </w:r>
          </w:p>
        </w:tc>
        <w:tc>
          <w:tcPr>
            <w:tcW w:w="1398" w:type="dxa"/>
            <w:tcBorders>
              <w:top w:val="nil"/>
              <w:left w:val="nil"/>
              <w:bottom w:val="single" w:color="auto" w:sz="4"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12</w:t>
            </w:r>
          </w:p>
        </w:tc>
        <w:tc>
          <w:tcPr>
            <w:tcW w:w="1537" w:type="dxa"/>
            <w:tcBorders>
              <w:top w:val="nil"/>
              <w:left w:val="nil"/>
              <w:bottom w:val="single" w:color="auto" w:sz="4"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6.5</w:t>
            </w:r>
          </w:p>
        </w:tc>
        <w:tc>
          <w:tcPr>
            <w:tcW w:w="1429" w:type="dxa"/>
            <w:tcBorders>
              <w:top w:val="nil"/>
              <w:left w:val="nil"/>
              <w:bottom w:val="single" w:color="auto" w:sz="4"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-5.5</w:t>
            </w:r>
          </w:p>
        </w:tc>
        <w:tc>
          <w:tcPr>
            <w:tcW w:w="1643" w:type="dxa"/>
            <w:tcBorders>
              <w:top w:val="nil"/>
              <w:left w:val="nil"/>
              <w:bottom w:val="single" w:color="auto" w:sz="4"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-45%</w:t>
            </w:r>
          </w:p>
        </w:tc>
      </w:tr>
      <w:tr>
        <w:tblPrEx>
          <w:tblCellMar>
            <w:top w:w="0" w:type="dxa"/>
            <w:left w:w="0" w:type="dxa"/>
            <w:bottom w:w="0" w:type="dxa"/>
            <w:right w:w="0" w:type="dxa"/>
          </w:tblCellMar>
        </w:tblPrEx>
        <w:trPr>
          <w:trHeight w:val="375" w:hRule="atLeast"/>
          <w:jc w:val="center"/>
        </w:trPr>
        <w:tc>
          <w:tcPr>
            <w:tcW w:w="2133" w:type="dxa"/>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水费</w:t>
            </w:r>
          </w:p>
        </w:tc>
        <w:tc>
          <w:tcPr>
            <w:tcW w:w="1398" w:type="dxa"/>
            <w:tcBorders>
              <w:top w:val="single" w:color="auto" w:sz="4" w:space="0"/>
              <w:left w:val="nil"/>
              <w:bottom w:val="single" w:color="auto" w:sz="8" w:space="0"/>
              <w:right w:val="single" w:color="auto" w:sz="8" w:space="0"/>
            </w:tcBorders>
            <w:tcMar>
              <w:left w:w="108" w:type="dxa"/>
              <w:right w:w="108" w:type="dxa"/>
            </w:tcMar>
            <w:vAlign w:val="center"/>
          </w:tcPr>
          <w:p>
            <w:pPr>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3</w:t>
            </w:r>
          </w:p>
        </w:tc>
        <w:tc>
          <w:tcPr>
            <w:tcW w:w="1537" w:type="dxa"/>
            <w:tcBorders>
              <w:top w:val="single" w:color="auto" w:sz="4" w:space="0"/>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1.61</w:t>
            </w:r>
          </w:p>
        </w:tc>
        <w:tc>
          <w:tcPr>
            <w:tcW w:w="1429" w:type="dxa"/>
            <w:tcBorders>
              <w:top w:val="single" w:color="auto" w:sz="4" w:space="0"/>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-1.39</w:t>
            </w:r>
          </w:p>
        </w:tc>
        <w:tc>
          <w:tcPr>
            <w:tcW w:w="1643" w:type="dxa"/>
            <w:tcBorders>
              <w:top w:val="single" w:color="auto" w:sz="4" w:space="0"/>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-46%</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邮电费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6</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0.85</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-5.15</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-85%</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取暖费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物业管理费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差旅费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24</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162.66</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138.66</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577%</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因公出国（境）费用</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维修（护）费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12</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7.11</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-4.89</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-40%</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租赁费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4.2</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3.2</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320%</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会议费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46</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24</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-22</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-47%</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培训费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14</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1.42</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-12.58</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-89%</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公务接待费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20</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25</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5</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25%</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专用材料费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被装购置费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专用燃料费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劳务费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29</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19.21</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-9.79</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-33%</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委托业务费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0.5</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0.5</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工会经费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100</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39.84</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-60.16</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-60%</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福利费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公务用车运行维护费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8.5</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9.64</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1.14</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13%</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其他交通费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72</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36.61</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-35.39</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-49%</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税金及附加费用</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其他商品和服务支出</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798.5</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138.93</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-659.57</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-138%</w:t>
            </w:r>
          </w:p>
        </w:tc>
      </w:tr>
      <w:tr>
        <w:tblPrEx>
          <w:tblCellMar>
            <w:top w:w="0" w:type="dxa"/>
            <w:left w:w="0" w:type="dxa"/>
            <w:bottom w:w="0" w:type="dxa"/>
            <w:right w:w="0" w:type="dxa"/>
          </w:tblCellMar>
        </w:tblPrEx>
        <w:trPr>
          <w:trHeight w:val="359" w:hRule="atLeast"/>
          <w:jc w:val="center"/>
        </w:trPr>
        <w:tc>
          <w:tcPr>
            <w:tcW w:w="2133" w:type="dxa"/>
            <w:tcBorders>
              <w:top w:val="nil"/>
              <w:left w:val="single" w:color="auto" w:sz="8" w:space="0"/>
              <w:bottom w:val="single" w:color="auto" w:sz="8" w:space="0"/>
              <w:right w:val="single" w:color="auto" w:sz="8" w:space="0"/>
            </w:tcBorders>
            <w:shd w:val="clear" w:color="auto" w:fill="C0C0C0"/>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合计</w:t>
            </w:r>
          </w:p>
        </w:tc>
        <w:tc>
          <w:tcPr>
            <w:tcW w:w="1398" w:type="dxa"/>
            <w:tcBorders>
              <w:top w:val="nil"/>
              <w:left w:val="nil"/>
              <w:bottom w:val="single" w:color="auto" w:sz="8" w:space="0"/>
              <w:right w:val="single" w:color="auto" w:sz="8" w:space="0"/>
            </w:tcBorders>
            <w:shd w:val="clear" w:color="auto" w:fill="C0C0C0"/>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1337</w:t>
            </w:r>
          </w:p>
        </w:tc>
        <w:tc>
          <w:tcPr>
            <w:tcW w:w="1537" w:type="dxa"/>
            <w:tcBorders>
              <w:top w:val="nil"/>
              <w:left w:val="nil"/>
              <w:bottom w:val="single" w:color="auto" w:sz="8" w:space="0"/>
              <w:right w:val="single" w:color="auto" w:sz="8" w:space="0"/>
            </w:tcBorders>
            <w:shd w:val="clear" w:color="auto" w:fill="C0C0C0"/>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697</w:t>
            </w:r>
          </w:p>
        </w:tc>
        <w:tc>
          <w:tcPr>
            <w:tcW w:w="1429" w:type="dxa"/>
            <w:tcBorders>
              <w:top w:val="nil"/>
              <w:left w:val="nil"/>
              <w:bottom w:val="single" w:color="auto" w:sz="8" w:space="0"/>
              <w:right w:val="single" w:color="auto" w:sz="8" w:space="0"/>
            </w:tcBorders>
            <w:shd w:val="clear" w:color="auto" w:fill="C0C0C0"/>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-640</w:t>
            </w:r>
          </w:p>
        </w:tc>
        <w:tc>
          <w:tcPr>
            <w:tcW w:w="1643" w:type="dxa"/>
            <w:tcBorders>
              <w:top w:val="nil"/>
              <w:left w:val="nil"/>
              <w:bottom w:val="single" w:color="auto" w:sz="8" w:space="0"/>
              <w:right w:val="single" w:color="auto" w:sz="8" w:space="0"/>
            </w:tcBorders>
            <w:shd w:val="clear" w:color="auto" w:fill="C0C0C0"/>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-47%</w:t>
            </w:r>
          </w:p>
        </w:tc>
      </w:tr>
    </w:tbl>
    <w:p>
      <w:pPr>
        <w:adjustRightInd w:val="0"/>
        <w:snapToGrid w:val="0"/>
        <w:spacing w:line="600" w:lineRule="exact"/>
        <w:ind w:left="1"/>
        <w:rPr>
          <w:rFonts w:ascii="仿宋" w:hAnsi="仿宋" w:eastAsia="仿宋"/>
          <w:color w:val="000000"/>
          <w:sz w:val="32"/>
          <w:szCs w:val="32"/>
        </w:rPr>
      </w:pPr>
      <w:r>
        <w:rPr>
          <w:rFonts w:hint="eastAsia" w:ascii="仿宋" w:hAnsi="仿宋" w:eastAsia="仿宋"/>
          <w:color w:val="000000"/>
          <w:sz w:val="32"/>
          <w:szCs w:val="32"/>
        </w:rPr>
        <w:t>印刷费、劳务费增加因环境卫生整治等工作需要，差旅费增加因为信访维稳工作的需要决算支出增加。办公费、会议费、其他交通费和其他商品和服务支出等开支减少因为国库本年度未支付。</w:t>
      </w:r>
    </w:p>
    <w:p>
      <w:pPr>
        <w:adjustRightInd w:val="0"/>
        <w:snapToGrid w:val="0"/>
        <w:spacing w:line="600" w:lineRule="exact"/>
        <w:ind w:left="1"/>
        <w:rPr>
          <w:rFonts w:ascii="仿宋" w:hAnsi="仿宋" w:eastAsia="仿宋"/>
          <w:color w:val="000000"/>
          <w:sz w:val="32"/>
          <w:szCs w:val="32"/>
        </w:rPr>
      </w:pPr>
    </w:p>
    <w:p>
      <w:pPr>
        <w:adjustRightInd w:val="0"/>
        <w:snapToGrid w:val="0"/>
        <w:spacing w:line="600" w:lineRule="exact"/>
        <w:ind w:left="1"/>
        <w:rPr>
          <w:rFonts w:ascii="仿宋" w:hAnsi="仿宋" w:eastAsia="仿宋"/>
          <w:color w:val="000000"/>
          <w:sz w:val="32"/>
          <w:szCs w:val="32"/>
        </w:rPr>
      </w:pPr>
    </w:p>
    <w:p>
      <w:pPr>
        <w:adjustRightInd w:val="0"/>
        <w:snapToGrid w:val="0"/>
        <w:spacing w:line="600" w:lineRule="exact"/>
        <w:ind w:left="1"/>
        <w:rPr>
          <w:rFonts w:ascii="仿宋" w:hAnsi="仿宋" w:eastAsia="仿宋"/>
          <w:sz w:val="32"/>
          <w:szCs w:val="32"/>
        </w:rPr>
      </w:pPr>
      <w:r>
        <w:rPr>
          <w:rFonts w:hint="eastAsia" w:ascii="仿宋" w:hAnsi="仿宋" w:eastAsia="仿宋"/>
          <w:sz w:val="32"/>
          <w:szCs w:val="32"/>
        </w:rPr>
        <w:t>（3）对个人和家庭的补助</w:t>
      </w:r>
    </w:p>
    <w:tbl>
      <w:tblPr>
        <w:tblStyle w:val="9"/>
        <w:tblW w:w="8364" w:type="dxa"/>
        <w:tblInd w:w="0" w:type="dxa"/>
        <w:tblLayout w:type="fixed"/>
        <w:tblCellMar>
          <w:top w:w="0" w:type="dxa"/>
          <w:left w:w="0" w:type="dxa"/>
          <w:bottom w:w="0" w:type="dxa"/>
          <w:right w:w="0" w:type="dxa"/>
        </w:tblCellMar>
      </w:tblPr>
      <w:tblGrid>
        <w:gridCol w:w="1816"/>
        <w:gridCol w:w="1538"/>
        <w:gridCol w:w="1560"/>
        <w:gridCol w:w="1875"/>
        <w:gridCol w:w="1575"/>
      </w:tblGrid>
      <w:tr>
        <w:tblPrEx>
          <w:tblCellMar>
            <w:top w:w="0" w:type="dxa"/>
            <w:left w:w="0" w:type="dxa"/>
            <w:bottom w:w="0" w:type="dxa"/>
            <w:right w:w="0" w:type="dxa"/>
          </w:tblCellMar>
        </w:tblPrEx>
        <w:trPr>
          <w:trHeight w:val="464" w:hRule="atLeast"/>
        </w:trPr>
        <w:tc>
          <w:tcPr>
            <w:tcW w:w="1816" w:type="dxa"/>
            <w:tcBorders>
              <w:top w:val="single" w:color="000000" w:sz="8" w:space="0"/>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支出项目</w:t>
            </w:r>
          </w:p>
        </w:tc>
        <w:tc>
          <w:tcPr>
            <w:tcW w:w="1538"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预算金额</w:t>
            </w:r>
          </w:p>
        </w:tc>
        <w:tc>
          <w:tcPr>
            <w:tcW w:w="1560"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决算金额</w:t>
            </w:r>
          </w:p>
        </w:tc>
        <w:tc>
          <w:tcPr>
            <w:tcW w:w="1875"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结余/超支金额</w:t>
            </w:r>
          </w:p>
        </w:tc>
        <w:tc>
          <w:tcPr>
            <w:tcW w:w="1575"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结余/超支率</w:t>
            </w: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离休费</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6</w:t>
            </w: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6</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退休费</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284</w:t>
            </w: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284</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退职（役）费</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抚恤金</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生活补助</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120</w:t>
            </w: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w:t>
            </w: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-118</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-98%</w:t>
            </w: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救济费</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医疗费补助</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助学金</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奖励金</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个人农业生产补贴</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其他对个人和家庭的补助支出</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4</w:t>
            </w: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4</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451" w:hRule="atLeast"/>
        </w:trPr>
        <w:tc>
          <w:tcPr>
            <w:tcW w:w="1816" w:type="dxa"/>
            <w:tcBorders>
              <w:top w:val="nil"/>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合计</w:t>
            </w:r>
          </w:p>
        </w:tc>
        <w:tc>
          <w:tcPr>
            <w:tcW w:w="1538"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120</w:t>
            </w:r>
          </w:p>
        </w:tc>
        <w:tc>
          <w:tcPr>
            <w:tcW w:w="1560"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296</w:t>
            </w:r>
          </w:p>
        </w:tc>
        <w:tc>
          <w:tcPr>
            <w:tcW w:w="1875"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75"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bl>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离休费和退休费的预算做在了生活补助中。</w:t>
      </w:r>
    </w:p>
    <w:p>
      <w:pPr>
        <w:adjustRightInd w:val="0"/>
        <w:snapToGrid w:val="0"/>
        <w:spacing w:line="600" w:lineRule="exact"/>
        <w:ind w:left="480" w:hanging="480"/>
        <w:rPr>
          <w:rFonts w:ascii="仿宋" w:hAnsi="仿宋" w:eastAsia="仿宋"/>
          <w:sz w:val="32"/>
          <w:szCs w:val="32"/>
        </w:rPr>
      </w:pPr>
      <w:r>
        <w:rPr>
          <w:rFonts w:hint="eastAsia" w:ascii="仿宋" w:hAnsi="仿宋" w:eastAsia="仿宋"/>
          <w:sz w:val="32"/>
          <w:szCs w:val="32"/>
        </w:rPr>
        <w:t>（二）“三公经费”支出使用和管理</w:t>
      </w:r>
    </w:p>
    <w:p>
      <w:pPr>
        <w:adjustRightInd w:val="0"/>
        <w:snapToGrid w:val="0"/>
        <w:spacing w:line="600" w:lineRule="exact"/>
        <w:ind w:left="480" w:hanging="480"/>
        <w:rPr>
          <w:rFonts w:ascii="仿宋" w:hAnsi="仿宋" w:eastAsia="仿宋"/>
          <w:sz w:val="32"/>
          <w:szCs w:val="32"/>
        </w:rPr>
      </w:pPr>
      <w:bookmarkStart w:id="1" w:name="_Toc419142213"/>
      <w:r>
        <w:rPr>
          <w:rFonts w:hint="eastAsia" w:ascii="仿宋" w:hAnsi="仿宋" w:eastAsia="仿宋"/>
          <w:sz w:val="32"/>
          <w:szCs w:val="32"/>
        </w:rPr>
        <w:t>1</w:t>
      </w:r>
      <w:bookmarkEnd w:id="1"/>
      <w:r>
        <w:rPr>
          <w:rFonts w:hint="eastAsia" w:ascii="仿宋" w:hAnsi="仿宋" w:eastAsia="仿宋"/>
          <w:sz w:val="32"/>
          <w:szCs w:val="32"/>
        </w:rPr>
        <w:t>、“三公经费”预算执行</w:t>
      </w:r>
    </w:p>
    <w:tbl>
      <w:tblPr>
        <w:tblStyle w:val="9"/>
        <w:tblW w:w="0" w:type="auto"/>
        <w:jc w:val="center"/>
        <w:tblLayout w:type="fixed"/>
        <w:tblCellMar>
          <w:top w:w="0" w:type="dxa"/>
          <w:left w:w="0" w:type="dxa"/>
          <w:bottom w:w="0" w:type="dxa"/>
          <w:right w:w="0" w:type="dxa"/>
        </w:tblCellMar>
      </w:tblPr>
      <w:tblGrid>
        <w:gridCol w:w="1632"/>
        <w:gridCol w:w="1065"/>
        <w:gridCol w:w="1125"/>
        <w:gridCol w:w="1005"/>
        <w:gridCol w:w="1170"/>
        <w:gridCol w:w="1149"/>
        <w:gridCol w:w="1290"/>
      </w:tblGrid>
      <w:tr>
        <w:tblPrEx>
          <w:tblCellMar>
            <w:top w:w="0" w:type="dxa"/>
            <w:left w:w="0" w:type="dxa"/>
            <w:bottom w:w="0" w:type="dxa"/>
            <w:right w:w="0" w:type="dxa"/>
          </w:tblCellMar>
        </w:tblPrEx>
        <w:trPr>
          <w:trHeight w:val="364" w:hRule="atLeast"/>
          <w:jc w:val="center"/>
        </w:trPr>
        <w:tc>
          <w:tcPr>
            <w:tcW w:w="1632" w:type="dxa"/>
            <w:vMerge w:val="restart"/>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费用项目</w:t>
            </w:r>
          </w:p>
        </w:tc>
        <w:tc>
          <w:tcPr>
            <w:tcW w:w="2190" w:type="dxa"/>
            <w:gridSpan w:val="2"/>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本年预算</w:t>
            </w:r>
          </w:p>
        </w:tc>
        <w:tc>
          <w:tcPr>
            <w:tcW w:w="2175" w:type="dxa"/>
            <w:gridSpan w:val="2"/>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本年决算</w:t>
            </w:r>
          </w:p>
        </w:tc>
        <w:tc>
          <w:tcPr>
            <w:tcW w:w="2439" w:type="dxa"/>
            <w:gridSpan w:val="2"/>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结余/超支</w:t>
            </w:r>
          </w:p>
        </w:tc>
      </w:tr>
      <w:tr>
        <w:tblPrEx>
          <w:tblCellMar>
            <w:top w:w="0" w:type="dxa"/>
            <w:left w:w="0" w:type="dxa"/>
            <w:bottom w:w="0" w:type="dxa"/>
            <w:right w:w="0" w:type="dxa"/>
          </w:tblCellMar>
        </w:tblPrEx>
        <w:trPr>
          <w:trHeight w:val="580" w:hRule="atLeast"/>
          <w:jc w:val="center"/>
        </w:trPr>
        <w:tc>
          <w:tcPr>
            <w:tcW w:w="1632" w:type="dxa"/>
            <w:vMerge w:val="continue"/>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065"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基本支出</w:t>
            </w:r>
          </w:p>
        </w:tc>
        <w:tc>
          <w:tcPr>
            <w:tcW w:w="1125"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项目支出</w:t>
            </w:r>
          </w:p>
        </w:tc>
        <w:tc>
          <w:tcPr>
            <w:tcW w:w="1005"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基本支出</w:t>
            </w:r>
          </w:p>
        </w:tc>
        <w:tc>
          <w:tcPr>
            <w:tcW w:w="1170"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项目支出</w:t>
            </w:r>
          </w:p>
        </w:tc>
        <w:tc>
          <w:tcPr>
            <w:tcW w:w="1149"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基本支出</w:t>
            </w:r>
          </w:p>
        </w:tc>
        <w:tc>
          <w:tcPr>
            <w:tcW w:w="1290"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项目支出</w:t>
            </w:r>
          </w:p>
        </w:tc>
      </w:tr>
      <w:tr>
        <w:tblPrEx>
          <w:tblCellMar>
            <w:top w:w="0" w:type="dxa"/>
            <w:left w:w="0" w:type="dxa"/>
            <w:bottom w:w="0" w:type="dxa"/>
            <w:right w:w="0" w:type="dxa"/>
          </w:tblCellMar>
        </w:tblPrEx>
        <w:trPr>
          <w:trHeight w:val="364" w:hRule="atLeast"/>
          <w:jc w:val="center"/>
        </w:trPr>
        <w:tc>
          <w:tcPr>
            <w:tcW w:w="1632"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公务接待费</w:t>
            </w:r>
          </w:p>
        </w:tc>
        <w:tc>
          <w:tcPr>
            <w:tcW w:w="106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20</w:t>
            </w:r>
          </w:p>
        </w:tc>
        <w:tc>
          <w:tcPr>
            <w:tcW w:w="112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00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25</w:t>
            </w:r>
          </w:p>
        </w:tc>
        <w:tc>
          <w:tcPr>
            <w:tcW w:w="1170"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149"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5</w:t>
            </w:r>
          </w:p>
        </w:tc>
        <w:tc>
          <w:tcPr>
            <w:tcW w:w="1290"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400" w:hRule="atLeast"/>
          <w:jc w:val="center"/>
        </w:trPr>
        <w:tc>
          <w:tcPr>
            <w:tcW w:w="1632"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公车运行维护费</w:t>
            </w:r>
          </w:p>
        </w:tc>
        <w:tc>
          <w:tcPr>
            <w:tcW w:w="106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8.5</w:t>
            </w:r>
          </w:p>
        </w:tc>
        <w:tc>
          <w:tcPr>
            <w:tcW w:w="112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00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9.64</w:t>
            </w:r>
          </w:p>
        </w:tc>
        <w:tc>
          <w:tcPr>
            <w:tcW w:w="1170"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149"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1.14</w:t>
            </w:r>
          </w:p>
        </w:tc>
        <w:tc>
          <w:tcPr>
            <w:tcW w:w="1290"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430" w:hRule="atLeast"/>
          <w:jc w:val="center"/>
        </w:trPr>
        <w:tc>
          <w:tcPr>
            <w:tcW w:w="1632"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公务车购置费</w:t>
            </w:r>
          </w:p>
        </w:tc>
        <w:tc>
          <w:tcPr>
            <w:tcW w:w="106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12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00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170"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149"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290"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64" w:hRule="atLeast"/>
          <w:jc w:val="center"/>
        </w:trPr>
        <w:tc>
          <w:tcPr>
            <w:tcW w:w="1632"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因公出国费用</w:t>
            </w:r>
          </w:p>
        </w:tc>
        <w:tc>
          <w:tcPr>
            <w:tcW w:w="106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12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00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170"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149"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290"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64" w:hRule="atLeast"/>
          <w:jc w:val="center"/>
        </w:trPr>
        <w:tc>
          <w:tcPr>
            <w:tcW w:w="1632"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06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12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00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170"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149"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290"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99" w:hRule="atLeast"/>
          <w:jc w:val="center"/>
        </w:trPr>
        <w:tc>
          <w:tcPr>
            <w:tcW w:w="1632" w:type="dxa"/>
            <w:tcBorders>
              <w:top w:val="nil"/>
              <w:left w:val="single" w:color="000000" w:sz="8" w:space="0"/>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合计</w:t>
            </w:r>
          </w:p>
        </w:tc>
        <w:tc>
          <w:tcPr>
            <w:tcW w:w="1065" w:type="dxa"/>
            <w:tcBorders>
              <w:top w:val="nil"/>
              <w:left w:val="nil"/>
              <w:bottom w:val="single" w:color="000000" w:sz="8" w:space="0"/>
              <w:right w:val="single" w:color="000000" w:sz="8" w:space="0"/>
            </w:tcBorders>
            <w:shd w:val="clear" w:color="auto" w:fill="D9D9D9"/>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28.5</w:t>
            </w:r>
          </w:p>
        </w:tc>
        <w:tc>
          <w:tcPr>
            <w:tcW w:w="1125" w:type="dxa"/>
            <w:tcBorders>
              <w:top w:val="nil"/>
              <w:left w:val="nil"/>
              <w:bottom w:val="single" w:color="000000" w:sz="8" w:space="0"/>
              <w:right w:val="single" w:color="000000" w:sz="8" w:space="0"/>
            </w:tcBorders>
            <w:shd w:val="clear" w:color="auto" w:fill="D9D9D9"/>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005" w:type="dxa"/>
            <w:tcBorders>
              <w:top w:val="nil"/>
              <w:left w:val="nil"/>
              <w:bottom w:val="single" w:color="000000" w:sz="8" w:space="0"/>
              <w:right w:val="single" w:color="000000" w:sz="8" w:space="0"/>
            </w:tcBorders>
            <w:shd w:val="clear" w:color="auto" w:fill="D9D9D9"/>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34.64</w:t>
            </w:r>
          </w:p>
        </w:tc>
        <w:tc>
          <w:tcPr>
            <w:tcW w:w="1170" w:type="dxa"/>
            <w:tcBorders>
              <w:top w:val="nil"/>
              <w:left w:val="nil"/>
              <w:bottom w:val="single" w:color="000000" w:sz="8" w:space="0"/>
              <w:right w:val="single" w:color="000000" w:sz="8" w:space="0"/>
            </w:tcBorders>
            <w:shd w:val="clear" w:color="auto" w:fill="D9D9D9"/>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149" w:type="dxa"/>
            <w:tcBorders>
              <w:top w:val="nil"/>
              <w:left w:val="nil"/>
              <w:bottom w:val="single" w:color="000000" w:sz="8" w:space="0"/>
              <w:right w:val="single" w:color="000000" w:sz="8" w:space="0"/>
            </w:tcBorders>
            <w:shd w:val="clear" w:color="auto" w:fill="D9D9D9"/>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6.14</w:t>
            </w:r>
          </w:p>
        </w:tc>
        <w:tc>
          <w:tcPr>
            <w:tcW w:w="1290" w:type="dxa"/>
            <w:tcBorders>
              <w:top w:val="nil"/>
              <w:left w:val="nil"/>
              <w:bottom w:val="single" w:color="000000" w:sz="8" w:space="0"/>
              <w:right w:val="single" w:color="000000" w:sz="8" w:space="0"/>
            </w:tcBorders>
            <w:shd w:val="clear" w:color="auto" w:fill="D9D9D9"/>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r>
    </w:tbl>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开展创卫，支出增加。</w:t>
      </w:r>
    </w:p>
    <w:p>
      <w:pPr>
        <w:adjustRightInd w:val="0"/>
        <w:snapToGrid w:val="0"/>
        <w:spacing w:line="600" w:lineRule="exact"/>
        <w:ind w:left="480" w:hanging="480"/>
        <w:rPr>
          <w:rFonts w:ascii="仿宋" w:hAnsi="仿宋" w:eastAsia="仿宋"/>
          <w:sz w:val="32"/>
          <w:szCs w:val="32"/>
        </w:rPr>
      </w:pPr>
      <w:r>
        <w:rPr>
          <w:rFonts w:hint="eastAsia" w:ascii="仿宋" w:hAnsi="仿宋" w:eastAsia="仿宋"/>
          <w:sz w:val="32"/>
          <w:szCs w:val="32"/>
        </w:rPr>
        <w:t>2、“三公经费”与上年度比较</w:t>
      </w:r>
    </w:p>
    <w:tbl>
      <w:tblPr>
        <w:tblStyle w:val="9"/>
        <w:tblW w:w="0" w:type="auto"/>
        <w:jc w:val="center"/>
        <w:tblLayout w:type="fixed"/>
        <w:tblCellMar>
          <w:top w:w="0" w:type="dxa"/>
          <w:left w:w="0" w:type="dxa"/>
          <w:bottom w:w="0" w:type="dxa"/>
          <w:right w:w="0" w:type="dxa"/>
        </w:tblCellMar>
      </w:tblPr>
      <w:tblGrid>
        <w:gridCol w:w="1795"/>
        <w:gridCol w:w="1179"/>
        <w:gridCol w:w="1255"/>
        <w:gridCol w:w="1249"/>
        <w:gridCol w:w="2477"/>
      </w:tblGrid>
      <w:tr>
        <w:tblPrEx>
          <w:tblCellMar>
            <w:top w:w="0" w:type="dxa"/>
            <w:left w:w="0" w:type="dxa"/>
            <w:bottom w:w="0" w:type="dxa"/>
            <w:right w:w="0" w:type="dxa"/>
          </w:tblCellMar>
        </w:tblPrEx>
        <w:trPr>
          <w:trHeight w:val="331" w:hRule="atLeast"/>
          <w:jc w:val="center"/>
        </w:trPr>
        <w:tc>
          <w:tcPr>
            <w:tcW w:w="1795" w:type="dxa"/>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费用项目</w:t>
            </w:r>
          </w:p>
        </w:tc>
        <w:tc>
          <w:tcPr>
            <w:tcW w:w="1179" w:type="dxa"/>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本年金额</w:t>
            </w:r>
          </w:p>
        </w:tc>
        <w:tc>
          <w:tcPr>
            <w:tcW w:w="1255" w:type="dxa"/>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上年金额</w:t>
            </w:r>
          </w:p>
        </w:tc>
        <w:tc>
          <w:tcPr>
            <w:tcW w:w="1249" w:type="dxa"/>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增减额</w:t>
            </w:r>
          </w:p>
        </w:tc>
        <w:tc>
          <w:tcPr>
            <w:tcW w:w="2477" w:type="dxa"/>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增减率%</w:t>
            </w:r>
          </w:p>
        </w:tc>
      </w:tr>
      <w:tr>
        <w:tblPrEx>
          <w:tblCellMar>
            <w:top w:w="0" w:type="dxa"/>
            <w:left w:w="0" w:type="dxa"/>
            <w:bottom w:w="0" w:type="dxa"/>
            <w:right w:w="0" w:type="dxa"/>
          </w:tblCellMar>
        </w:tblPrEx>
        <w:trPr>
          <w:trHeight w:val="331" w:hRule="atLeast"/>
          <w:jc w:val="center"/>
        </w:trPr>
        <w:tc>
          <w:tcPr>
            <w:tcW w:w="1795"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公务接待费</w:t>
            </w:r>
          </w:p>
        </w:tc>
        <w:tc>
          <w:tcPr>
            <w:tcW w:w="117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25</w:t>
            </w:r>
          </w:p>
        </w:tc>
        <w:tc>
          <w:tcPr>
            <w:tcW w:w="1255"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39.87</w:t>
            </w:r>
          </w:p>
        </w:tc>
        <w:tc>
          <w:tcPr>
            <w:tcW w:w="124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-14.87</w:t>
            </w:r>
          </w:p>
        </w:tc>
        <w:tc>
          <w:tcPr>
            <w:tcW w:w="2477"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-37%</w:t>
            </w:r>
          </w:p>
        </w:tc>
      </w:tr>
      <w:tr>
        <w:tblPrEx>
          <w:tblCellMar>
            <w:top w:w="0" w:type="dxa"/>
            <w:left w:w="0" w:type="dxa"/>
            <w:bottom w:w="0" w:type="dxa"/>
            <w:right w:w="0" w:type="dxa"/>
          </w:tblCellMar>
        </w:tblPrEx>
        <w:trPr>
          <w:trHeight w:val="331" w:hRule="atLeast"/>
          <w:jc w:val="center"/>
        </w:trPr>
        <w:tc>
          <w:tcPr>
            <w:tcW w:w="1795"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公车运行维护费</w:t>
            </w:r>
          </w:p>
        </w:tc>
        <w:tc>
          <w:tcPr>
            <w:tcW w:w="117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9.64</w:t>
            </w:r>
          </w:p>
        </w:tc>
        <w:tc>
          <w:tcPr>
            <w:tcW w:w="1255"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9.91</w:t>
            </w:r>
          </w:p>
        </w:tc>
        <w:tc>
          <w:tcPr>
            <w:tcW w:w="124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-0.27</w:t>
            </w:r>
          </w:p>
        </w:tc>
        <w:tc>
          <w:tcPr>
            <w:tcW w:w="2477"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-2.7%</w:t>
            </w:r>
          </w:p>
        </w:tc>
      </w:tr>
      <w:tr>
        <w:tblPrEx>
          <w:tblCellMar>
            <w:top w:w="0" w:type="dxa"/>
            <w:left w:w="0" w:type="dxa"/>
            <w:bottom w:w="0" w:type="dxa"/>
            <w:right w:w="0" w:type="dxa"/>
          </w:tblCellMar>
        </w:tblPrEx>
        <w:trPr>
          <w:trHeight w:val="331" w:hRule="atLeast"/>
          <w:jc w:val="center"/>
        </w:trPr>
        <w:tc>
          <w:tcPr>
            <w:tcW w:w="1795"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公务车辆购置费</w:t>
            </w:r>
          </w:p>
        </w:tc>
        <w:tc>
          <w:tcPr>
            <w:tcW w:w="117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255"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24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2477"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31" w:hRule="atLeast"/>
          <w:jc w:val="center"/>
        </w:trPr>
        <w:tc>
          <w:tcPr>
            <w:tcW w:w="1795"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因公出国(境)费用</w:t>
            </w:r>
          </w:p>
        </w:tc>
        <w:tc>
          <w:tcPr>
            <w:tcW w:w="117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255"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24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2477"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31" w:hRule="atLeast"/>
          <w:jc w:val="center"/>
        </w:trPr>
        <w:tc>
          <w:tcPr>
            <w:tcW w:w="1795"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17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255"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24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2477"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69" w:hRule="atLeast"/>
          <w:jc w:val="center"/>
        </w:trPr>
        <w:tc>
          <w:tcPr>
            <w:tcW w:w="1795" w:type="dxa"/>
            <w:tcBorders>
              <w:top w:val="nil"/>
              <w:left w:val="single" w:color="000000" w:sz="8" w:space="0"/>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合计</w:t>
            </w:r>
          </w:p>
        </w:tc>
        <w:tc>
          <w:tcPr>
            <w:tcW w:w="1179"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34.64</w:t>
            </w:r>
          </w:p>
        </w:tc>
        <w:tc>
          <w:tcPr>
            <w:tcW w:w="1255"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49.78</w:t>
            </w:r>
          </w:p>
        </w:tc>
        <w:tc>
          <w:tcPr>
            <w:tcW w:w="1249"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-15.14</w:t>
            </w:r>
          </w:p>
        </w:tc>
        <w:tc>
          <w:tcPr>
            <w:tcW w:w="2477"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30%</w:t>
            </w:r>
          </w:p>
        </w:tc>
      </w:tr>
    </w:tbl>
    <w:p>
      <w:pPr>
        <w:pStyle w:val="2"/>
        <w:widowControl/>
        <w:spacing w:before="0" w:beforeAutospacing="0" w:after="0" w:afterAutospacing="0" w:line="600" w:lineRule="exact"/>
        <w:jc w:val="both"/>
        <w:rPr>
          <w:rFonts w:hint="default" w:ascii="仿宋" w:hAnsi="仿宋" w:eastAsia="仿宋" w:cs="黑体"/>
          <w:b w:val="0"/>
          <w:sz w:val="32"/>
          <w:szCs w:val="32"/>
        </w:rPr>
      </w:pPr>
      <w:r>
        <w:rPr>
          <w:rFonts w:ascii="仿宋" w:hAnsi="仿宋" w:eastAsia="仿宋" w:cs="黑体"/>
          <w:b w:val="0"/>
          <w:sz w:val="32"/>
          <w:szCs w:val="32"/>
        </w:rPr>
        <w:t>减额、减率较大的原因是缩减了三公经费。</w:t>
      </w:r>
    </w:p>
    <w:p>
      <w:pPr>
        <w:pStyle w:val="2"/>
        <w:widowControl/>
        <w:spacing w:before="0" w:beforeAutospacing="0" w:after="0" w:afterAutospacing="0" w:line="600" w:lineRule="exact"/>
        <w:jc w:val="both"/>
        <w:rPr>
          <w:rFonts w:hint="default" w:ascii="仿宋" w:hAnsi="仿宋" w:eastAsia="仿宋" w:cs="黑体"/>
          <w:b w:val="0"/>
          <w:color w:val="C00000"/>
          <w:sz w:val="32"/>
          <w:szCs w:val="32"/>
        </w:rPr>
      </w:pPr>
      <w:r>
        <w:rPr>
          <w:rFonts w:ascii="仿宋" w:hAnsi="仿宋" w:eastAsia="仿宋" w:cs="黑体"/>
          <w:b w:val="0"/>
          <w:sz w:val="32"/>
          <w:szCs w:val="32"/>
        </w:rPr>
        <w:t>四、部门整体支出绩效评价</w:t>
      </w:r>
    </w:p>
    <w:p>
      <w:pPr>
        <w:widowControl/>
        <w:shd w:val="clear" w:color="auto" w:fill="FFFFFF"/>
        <w:spacing w:line="600" w:lineRule="atLeast"/>
        <w:ind w:left="480" w:hanging="480"/>
        <w:rPr>
          <w:rFonts w:cs="宋体"/>
          <w:kern w:val="0"/>
          <w:szCs w:val="21"/>
        </w:rPr>
      </w:pPr>
      <w:r>
        <w:rPr>
          <w:rFonts w:hint="eastAsia" w:ascii="仿宋" w:hAnsi="仿宋" w:eastAsia="仿宋" w:cs="宋体"/>
          <w:color w:val="000000"/>
          <w:kern w:val="0"/>
          <w:sz w:val="32"/>
          <w:szCs w:val="32"/>
        </w:rPr>
        <w:t>通过对部门整体支出情况的概述和实际支出情况的分析，部门整体支出绩效目标管理情况评价如下：</w:t>
      </w:r>
    </w:p>
    <w:p>
      <w:pPr>
        <w:widowControl/>
        <w:shd w:val="clear" w:color="auto" w:fill="FFFFFF"/>
        <w:spacing w:line="600" w:lineRule="atLeast"/>
        <w:ind w:firstLine="640"/>
        <w:rPr>
          <w:rFonts w:cs="宋体"/>
          <w:kern w:val="0"/>
          <w:szCs w:val="21"/>
        </w:rPr>
      </w:pPr>
      <w:r>
        <w:rPr>
          <w:rFonts w:hint="eastAsia" w:ascii="仿宋" w:hAnsi="仿宋" w:eastAsia="仿宋" w:cs="宋体"/>
          <w:color w:val="000000"/>
          <w:kern w:val="0"/>
          <w:sz w:val="32"/>
          <w:szCs w:val="32"/>
        </w:rPr>
        <w:t>（一）经济性评价</w:t>
      </w:r>
    </w:p>
    <w:p>
      <w:pPr>
        <w:widowControl/>
        <w:shd w:val="clear" w:color="auto" w:fill="FFFFFF"/>
        <w:spacing w:line="600" w:lineRule="atLeast"/>
        <w:ind w:firstLine="640"/>
        <w:rPr>
          <w:rFonts w:cs="宋体"/>
          <w:kern w:val="0"/>
          <w:szCs w:val="21"/>
        </w:rPr>
      </w:pPr>
      <w:r>
        <w:rPr>
          <w:rFonts w:hint="eastAsia" w:ascii="仿宋" w:hAnsi="仿宋" w:eastAsia="仿宋" w:cs="宋体"/>
          <w:color w:val="000000"/>
          <w:kern w:val="0"/>
          <w:sz w:val="32"/>
          <w:szCs w:val="32"/>
        </w:rPr>
        <w:t>按照厉行节俭的要求，严格控制各项开支，2020年三公经费预算总额较上年有所减少，在预算执行方面，三公经费支出总额严格控制在预算总额内。</w:t>
      </w:r>
    </w:p>
    <w:p>
      <w:pPr>
        <w:widowControl/>
        <w:shd w:val="clear" w:color="auto" w:fill="FFFFFF"/>
        <w:spacing w:line="600" w:lineRule="atLeast"/>
        <w:ind w:firstLine="640"/>
        <w:rPr>
          <w:rFonts w:cs="宋体"/>
          <w:kern w:val="0"/>
          <w:szCs w:val="21"/>
        </w:rPr>
      </w:pPr>
      <w:r>
        <w:rPr>
          <w:rFonts w:hint="eastAsia" w:ascii="仿宋" w:hAnsi="仿宋" w:eastAsia="仿宋" w:cs="宋体"/>
          <w:color w:val="000000"/>
          <w:kern w:val="0"/>
          <w:sz w:val="32"/>
          <w:szCs w:val="32"/>
        </w:rPr>
        <w:t>（二）行政效能评价</w:t>
      </w:r>
    </w:p>
    <w:p>
      <w:pPr>
        <w:widowControl/>
        <w:shd w:val="clear" w:color="auto" w:fill="FFFFFF"/>
        <w:spacing w:line="600" w:lineRule="atLeast"/>
        <w:ind w:firstLine="640"/>
        <w:rPr>
          <w:rFonts w:cs="宋体"/>
          <w:kern w:val="0"/>
          <w:szCs w:val="21"/>
        </w:rPr>
      </w:pPr>
      <w:r>
        <w:rPr>
          <w:rFonts w:hint="eastAsia" w:ascii="仿宋" w:hAnsi="仿宋" w:eastAsia="仿宋" w:cs="宋体"/>
          <w:color w:val="000000"/>
          <w:kern w:val="0"/>
          <w:sz w:val="32"/>
          <w:szCs w:val="32"/>
        </w:rPr>
        <w:t>加强组织保障全。成立了专项工作领导小组，建立动态管理机制。成立了财政预算绩效管理、财务会审、内部控制等工作领导小组，每月召开专题会议，实行定期汇报制，定期向党委汇报财政预算执行情况，进行动态调整。</w:t>
      </w:r>
    </w:p>
    <w:p>
      <w:pPr>
        <w:widowControl/>
        <w:shd w:val="clear" w:color="auto" w:fill="FFFFFF"/>
        <w:spacing w:line="600" w:lineRule="atLeast"/>
        <w:ind w:firstLine="640"/>
        <w:rPr>
          <w:rFonts w:cs="宋体"/>
          <w:kern w:val="0"/>
          <w:szCs w:val="21"/>
        </w:rPr>
      </w:pPr>
      <w:r>
        <w:rPr>
          <w:rFonts w:hint="eastAsia" w:ascii="仿宋" w:hAnsi="仿宋" w:eastAsia="仿宋" w:cs="宋体"/>
          <w:color w:val="000000"/>
          <w:kern w:val="0"/>
          <w:sz w:val="32"/>
          <w:szCs w:val="32"/>
        </w:rPr>
        <w:t>制度完善落实处。制定了财务管理制度，完善监督管理机制。制定了财务管理制度和管理办法，对机关经费管理、收入支出管理、票据管理、政府采购管理、预算管理、公务接待管理、固定资产管理、食堂管理等方面明确了规定，进行了详细说明，在原有基础上更进一步强化了内部管理。</w:t>
      </w:r>
    </w:p>
    <w:p>
      <w:pPr>
        <w:widowControl/>
        <w:shd w:val="clear" w:color="auto" w:fill="FFFFFF"/>
        <w:spacing w:line="600" w:lineRule="atLeast"/>
        <w:ind w:firstLine="640"/>
        <w:rPr>
          <w:rFonts w:cs="宋体"/>
          <w:kern w:val="0"/>
          <w:szCs w:val="21"/>
        </w:rPr>
      </w:pPr>
      <w:r>
        <w:rPr>
          <w:rFonts w:hint="eastAsia" w:ascii="仿宋" w:hAnsi="仿宋" w:eastAsia="仿宋" w:cs="宋体"/>
          <w:color w:val="000000"/>
          <w:kern w:val="0"/>
          <w:sz w:val="32"/>
          <w:szCs w:val="32"/>
        </w:rPr>
        <w:t>行政管理效能高。严格按照年初预算，有序执行预算，充分保障了单位正常运转，提高了行政运行效率，有效控制了行政运行成本。</w:t>
      </w:r>
    </w:p>
    <w:p>
      <w:pPr>
        <w:widowControl/>
        <w:shd w:val="clear" w:color="auto" w:fill="FFFFFF"/>
        <w:spacing w:line="600" w:lineRule="atLeast"/>
        <w:ind w:left="482" w:hanging="482"/>
        <w:jc w:val="left"/>
        <w:rPr>
          <w:rFonts w:cs="宋体"/>
          <w:kern w:val="0"/>
          <w:szCs w:val="21"/>
        </w:rPr>
      </w:pPr>
      <w:r>
        <w:rPr>
          <w:rFonts w:hint="eastAsia" w:ascii="仿宋" w:hAnsi="仿宋" w:eastAsia="仿宋" w:cs="宋体"/>
          <w:color w:val="000000"/>
          <w:kern w:val="0"/>
          <w:sz w:val="32"/>
          <w:szCs w:val="32"/>
        </w:rPr>
        <w:t>（一）社会公众满意度</w:t>
      </w:r>
    </w:p>
    <w:p>
      <w:pPr>
        <w:widowControl/>
        <w:shd w:val="clear" w:color="auto" w:fill="FFFFFF"/>
        <w:spacing w:line="600" w:lineRule="atLeast"/>
        <w:ind w:firstLine="640"/>
        <w:rPr>
          <w:rFonts w:cs="宋体"/>
          <w:kern w:val="0"/>
          <w:szCs w:val="21"/>
        </w:rPr>
      </w:pPr>
      <w:r>
        <w:rPr>
          <w:rFonts w:hint="eastAsia" w:ascii="仿宋" w:hAnsi="仿宋" w:eastAsia="仿宋" w:cs="宋体"/>
          <w:color w:val="000000"/>
          <w:kern w:val="0"/>
          <w:sz w:val="32"/>
          <w:szCs w:val="32"/>
        </w:rPr>
        <w:t>结合财政工作职能职责，积极主动作为，全力配合全镇各项工作，落实各项扶贫资金及民生惠民资金。以高度的服务意识文明接待，积极开展财务信息窗口工作，坚持“最多跑一次”，做到一件事情一次办、服务效能高、业务办结效率高，切实提高了群众满意度，增强了人民群众获得感、幸福感、安全感。</w:t>
      </w:r>
    </w:p>
    <w:p>
      <w:pPr>
        <w:widowControl/>
        <w:shd w:val="clear" w:color="auto" w:fill="FFFFFF"/>
        <w:spacing w:line="600" w:lineRule="atLeast"/>
        <w:ind w:left="482" w:hanging="482"/>
        <w:jc w:val="left"/>
        <w:rPr>
          <w:rFonts w:cs="宋体"/>
          <w:kern w:val="0"/>
          <w:szCs w:val="21"/>
        </w:rPr>
      </w:pPr>
      <w:r>
        <w:rPr>
          <w:rFonts w:hint="eastAsia" w:ascii="仿宋" w:hAnsi="仿宋" w:eastAsia="仿宋" w:cs="宋体"/>
          <w:color w:val="000000"/>
          <w:kern w:val="0"/>
          <w:sz w:val="32"/>
          <w:szCs w:val="32"/>
          <w:shd w:val="clear" w:color="auto" w:fill="FFFFFF"/>
        </w:rPr>
        <w:t>（二）部门整体绩效得分</w:t>
      </w:r>
    </w:p>
    <w:p>
      <w:pPr>
        <w:widowControl/>
        <w:shd w:val="clear" w:color="auto" w:fill="FFFFFF"/>
        <w:spacing w:line="600" w:lineRule="atLeast"/>
        <w:ind w:firstLine="640"/>
        <w:rPr>
          <w:rFonts w:cs="宋体"/>
          <w:kern w:val="0"/>
          <w:szCs w:val="21"/>
        </w:rPr>
      </w:pPr>
      <w:r>
        <w:rPr>
          <w:rFonts w:hint="eastAsia" w:ascii="仿宋" w:hAnsi="仿宋" w:eastAsia="仿宋" w:cs="宋体"/>
          <w:color w:val="000000"/>
          <w:kern w:val="0"/>
          <w:sz w:val="32"/>
          <w:szCs w:val="32"/>
          <w:shd w:val="clear" w:color="auto" w:fill="FFFFFF"/>
        </w:rPr>
        <w:t>根</w:t>
      </w:r>
      <w:r>
        <w:rPr>
          <w:rFonts w:hint="eastAsia" w:ascii="仿宋" w:hAnsi="仿宋" w:eastAsia="仿宋" w:cs="宋体"/>
          <w:color w:val="000000"/>
          <w:kern w:val="0"/>
          <w:sz w:val="32"/>
          <w:szCs w:val="32"/>
        </w:rPr>
        <w:t>据《部门整体支出绩效评价指标评分表》，本着实事求是的原则，我们对2020年度部门整体支出进行了客观评价，自评得分为97分。</w:t>
      </w:r>
    </w:p>
    <w:p>
      <w:pPr>
        <w:widowControl/>
        <w:shd w:val="clear" w:color="auto" w:fill="FFFFFF"/>
        <w:spacing w:line="600" w:lineRule="atLeast"/>
        <w:ind w:left="542" w:hanging="542"/>
        <w:jc w:val="left"/>
        <w:rPr>
          <w:rFonts w:cs="宋体"/>
          <w:kern w:val="0"/>
          <w:szCs w:val="21"/>
        </w:rPr>
      </w:pPr>
      <w:r>
        <w:rPr>
          <w:rFonts w:hint="eastAsia" w:ascii="仿宋" w:hAnsi="仿宋" w:eastAsia="仿宋" w:cs="宋体"/>
          <w:color w:val="000000"/>
          <w:kern w:val="0"/>
          <w:sz w:val="32"/>
          <w:szCs w:val="32"/>
          <w:shd w:val="clear" w:color="auto" w:fill="FFFFFF"/>
        </w:rPr>
        <w:t>五、存在的主要问题</w:t>
      </w:r>
    </w:p>
    <w:p>
      <w:pPr>
        <w:widowControl/>
        <w:shd w:val="clear" w:color="auto" w:fill="FFFFFF"/>
        <w:spacing w:line="600" w:lineRule="atLeast"/>
        <w:ind w:firstLine="640"/>
        <w:rPr>
          <w:rFonts w:cs="宋体"/>
          <w:kern w:val="0"/>
          <w:szCs w:val="21"/>
        </w:rPr>
      </w:pPr>
      <w:r>
        <w:rPr>
          <w:rFonts w:hint="eastAsia" w:ascii="仿宋" w:hAnsi="仿宋" w:eastAsia="仿宋" w:cs="宋体"/>
          <w:color w:val="000000"/>
          <w:kern w:val="0"/>
          <w:sz w:val="32"/>
          <w:szCs w:val="32"/>
        </w:rPr>
        <w:t>目前，我镇存在以下主要问题：一是预算支出与实际支出存在部分差异，预算编制有待更完整科学。二是支出结构需进一步优化，改善民生的财政保障机制还有待完善。</w:t>
      </w:r>
    </w:p>
    <w:p>
      <w:pPr>
        <w:widowControl/>
        <w:shd w:val="clear" w:color="auto" w:fill="FFFFFF"/>
        <w:spacing w:line="600" w:lineRule="atLeast"/>
        <w:ind w:left="542" w:hanging="542"/>
        <w:jc w:val="left"/>
        <w:rPr>
          <w:rFonts w:cs="宋体"/>
          <w:kern w:val="0"/>
          <w:szCs w:val="21"/>
        </w:rPr>
      </w:pPr>
      <w:r>
        <w:rPr>
          <w:rFonts w:hint="eastAsia" w:ascii="仿宋" w:hAnsi="仿宋" w:eastAsia="仿宋" w:cs="宋体"/>
          <w:color w:val="000000"/>
          <w:kern w:val="0"/>
          <w:sz w:val="32"/>
          <w:szCs w:val="32"/>
          <w:shd w:val="clear" w:color="auto" w:fill="FFFFFF"/>
        </w:rPr>
        <w:t>六、改进意见及建议</w:t>
      </w:r>
    </w:p>
    <w:p>
      <w:pPr>
        <w:widowControl/>
        <w:shd w:val="clear" w:color="auto" w:fill="FFFFFF"/>
        <w:spacing w:line="600" w:lineRule="atLeast"/>
        <w:ind w:firstLine="640"/>
        <w:rPr>
          <w:rFonts w:cs="宋体"/>
          <w:kern w:val="0"/>
          <w:szCs w:val="21"/>
        </w:rPr>
      </w:pPr>
      <w:r>
        <w:rPr>
          <w:rFonts w:hint="eastAsia" w:ascii="仿宋" w:hAnsi="仿宋" w:eastAsia="仿宋" w:cs="宋体"/>
          <w:color w:val="000000"/>
          <w:kern w:val="0"/>
          <w:sz w:val="32"/>
          <w:szCs w:val="32"/>
        </w:rPr>
        <w:t>1、细化预算编制工作。进一步加强预算管理意识，严格按照预算编制的相关制度和要求，日常公用经费根据年度工作重点合理规划，本着“勤俭节约、保障运转”的原则进行预算编制，编制范围更加全面，提高预算编制的完整性、科学性。</w:t>
      </w:r>
    </w:p>
    <w:p>
      <w:pPr>
        <w:widowControl/>
        <w:shd w:val="clear" w:color="auto" w:fill="FFFFFF"/>
        <w:spacing w:line="600" w:lineRule="atLeast"/>
        <w:ind w:firstLine="640"/>
        <w:rPr>
          <w:rFonts w:cs="宋体"/>
          <w:kern w:val="0"/>
          <w:szCs w:val="21"/>
        </w:rPr>
      </w:pPr>
      <w:r>
        <w:rPr>
          <w:rFonts w:hint="eastAsia" w:ascii="仿宋" w:hAnsi="仿宋" w:eastAsia="仿宋" w:cs="宋体"/>
          <w:color w:val="000000"/>
          <w:kern w:val="0"/>
          <w:sz w:val="32"/>
          <w:szCs w:val="32"/>
        </w:rPr>
        <w:t>2、优化费用支出结构。在收支矛盾突出，支出缺口较大的情况下，切实加强资金的使用，以保工资、保稳定、保政府正常运转为前提，坚持量力而行，量财办事，坚决反铺张浪费，勤俭办事，严格控制“三公经费”，打造节约型政府；加大对“三农”和社会事业发展等公共财政支出的力度，加快建立民生财政。</w:t>
      </w:r>
    </w:p>
    <w:p>
      <w:pPr>
        <w:widowControl/>
        <w:shd w:val="clear" w:color="auto" w:fill="FFFFFF"/>
        <w:spacing w:line="600" w:lineRule="atLeast"/>
        <w:ind w:left="480" w:hanging="480"/>
        <w:rPr>
          <w:rFonts w:cs="宋体"/>
          <w:kern w:val="0"/>
          <w:szCs w:val="21"/>
        </w:rPr>
      </w:pPr>
      <w:r>
        <w:rPr>
          <w:rFonts w:hint="eastAsia" w:ascii="仿宋" w:hAnsi="仿宋" w:eastAsia="仿宋" w:cs="宋体"/>
          <w:color w:val="000000"/>
          <w:kern w:val="0"/>
          <w:sz w:val="32"/>
          <w:szCs w:val="32"/>
        </w:rPr>
        <w:t>3、坚持深化改革，规范财政监督管理，提高资金使用效益。一是强化财政收入进度管理。按照收入进度和预算计划合理调度资金，加快资金流转，防止资金滞留、挪用等问题。二是加强对专项资金的跟踪检查，促使专款及时足额落实到项目，专款专用。三是切实加强对村财务的管理与监督，进一步规范村财务行为。</w:t>
      </w:r>
    </w:p>
    <w:p>
      <w:pPr>
        <w:adjustRightInd w:val="0"/>
        <w:snapToGrid w:val="0"/>
        <w:spacing w:line="600" w:lineRule="exact"/>
        <w:ind w:left="480" w:hanging="480"/>
        <w:rPr>
          <w:rFonts w:ascii="仿宋" w:hAnsi="仿宋" w:eastAsia="仿宋"/>
          <w:sz w:val="32"/>
          <w:szCs w:val="32"/>
        </w:rPr>
      </w:pPr>
    </w:p>
    <w:p>
      <w:pPr>
        <w:adjustRightInd w:val="0"/>
        <w:snapToGrid w:val="0"/>
        <w:spacing w:line="600" w:lineRule="exact"/>
        <w:ind w:left="480" w:hanging="480"/>
        <w:rPr>
          <w:rFonts w:ascii="仿宋" w:hAnsi="仿宋" w:eastAsia="仿宋"/>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416" w:bottom="1440" w:left="1800" w:header="851" w:footer="992" w:gutter="0"/>
          <w:cols w:space="720" w:num="1"/>
          <w:docGrid w:type="lines" w:linePitch="312" w:charSpace="0"/>
        </w:sectPr>
      </w:pPr>
    </w:p>
    <w:p>
      <w:pPr>
        <w:spacing w:line="600" w:lineRule="exact"/>
        <w:ind w:left="540" w:hanging="540"/>
        <w:jc w:val="center"/>
        <w:rPr>
          <w:rFonts w:eastAsia="方正小标宋_GBK"/>
          <w:spacing w:val="-8"/>
          <w:sz w:val="28"/>
          <w:szCs w:val="28"/>
        </w:rPr>
      </w:pPr>
      <w:r>
        <w:rPr>
          <w:rFonts w:eastAsia="方正小标宋_GBK"/>
          <w:sz w:val="36"/>
          <w:szCs w:val="36"/>
        </w:rPr>
        <w:t>20</w:t>
      </w:r>
      <w:r>
        <w:rPr>
          <w:rFonts w:hint="eastAsia" w:eastAsia="方正小标宋_GBK"/>
          <w:sz w:val="36"/>
          <w:szCs w:val="36"/>
        </w:rPr>
        <w:t>20年度部门整体支出</w:t>
      </w:r>
      <w:r>
        <w:rPr>
          <w:rFonts w:eastAsia="方正小标宋_GBK"/>
          <w:spacing w:val="-8"/>
          <w:sz w:val="36"/>
          <w:szCs w:val="36"/>
        </w:rPr>
        <w:t>绩效评价指标评分表</w:t>
      </w:r>
    </w:p>
    <w:p>
      <w:pPr>
        <w:spacing w:line="600" w:lineRule="exact"/>
        <w:ind w:left="396" w:hanging="396"/>
        <w:rPr>
          <w:rFonts w:ascii="楷体_GB2312" w:eastAsia="楷体_GB2312"/>
          <w:spacing w:val="-8"/>
          <w:sz w:val="28"/>
          <w:szCs w:val="28"/>
        </w:rPr>
      </w:pPr>
      <w:r>
        <w:rPr>
          <w:rFonts w:hint="eastAsia" w:ascii="楷体_GB2312" w:eastAsia="楷体_GB2312"/>
          <w:spacing w:val="-8"/>
          <w:sz w:val="28"/>
          <w:szCs w:val="28"/>
        </w:rPr>
        <w:t>填报单位（盖章）：</w:t>
      </w:r>
    </w:p>
    <w:tbl>
      <w:tblPr>
        <w:tblStyle w:val="9"/>
        <w:tblW w:w="14287" w:type="dxa"/>
        <w:jc w:val="center"/>
        <w:tblLayout w:type="fixed"/>
        <w:tblCellMar>
          <w:top w:w="0" w:type="dxa"/>
          <w:left w:w="0" w:type="dxa"/>
          <w:bottom w:w="0" w:type="dxa"/>
          <w:right w:w="0" w:type="dxa"/>
        </w:tblCellMar>
      </w:tblPr>
      <w:tblGrid>
        <w:gridCol w:w="690"/>
        <w:gridCol w:w="704"/>
        <w:gridCol w:w="960"/>
        <w:gridCol w:w="5340"/>
        <w:gridCol w:w="5825"/>
        <w:gridCol w:w="768"/>
      </w:tblGrid>
      <w:tr>
        <w:tblPrEx>
          <w:tblCellMar>
            <w:top w:w="0" w:type="dxa"/>
            <w:left w:w="0" w:type="dxa"/>
            <w:bottom w:w="0" w:type="dxa"/>
            <w:right w:w="0" w:type="dxa"/>
          </w:tblCellMar>
        </w:tblPrEx>
        <w:trPr>
          <w:trHeight w:val="644" w:hRule="atLeast"/>
          <w:tblHeader/>
          <w:jc w:val="center"/>
        </w:trPr>
        <w:tc>
          <w:tcPr>
            <w:tcW w:w="690" w:type="dxa"/>
            <w:tcBorders>
              <w:top w:val="single" w:color="auto" w:sz="4" w:space="0"/>
              <w:left w:val="single" w:color="auto" w:sz="8" w:space="0"/>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eastAsia="宋体" w:cs="宋体"/>
                <w:color w:val="000000"/>
                <w:sz w:val="21"/>
                <w:szCs w:val="21"/>
                <w:lang w:eastAsia="zh-CN"/>
              </w:rPr>
            </w:pPr>
            <w:r>
              <w:rPr>
                <w:rFonts w:hint="eastAsia" w:ascii="宋体" w:hAnsi="宋体" w:cs="宋体"/>
                <w:color w:val="000000"/>
                <w:sz w:val="21"/>
                <w:szCs w:val="21"/>
              </w:rPr>
              <w:t>一级</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指标</w:t>
            </w:r>
          </w:p>
        </w:tc>
        <w:tc>
          <w:tcPr>
            <w:tcW w:w="704"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二级指标</w:t>
            </w:r>
          </w:p>
        </w:tc>
        <w:tc>
          <w:tcPr>
            <w:tcW w:w="960"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三级指标</w:t>
            </w:r>
          </w:p>
        </w:tc>
        <w:tc>
          <w:tcPr>
            <w:tcW w:w="5340"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指标解释</w:t>
            </w:r>
          </w:p>
        </w:tc>
        <w:tc>
          <w:tcPr>
            <w:tcW w:w="5825"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指标说明</w:t>
            </w:r>
          </w:p>
        </w:tc>
        <w:tc>
          <w:tcPr>
            <w:tcW w:w="768" w:type="dxa"/>
            <w:tcBorders>
              <w:top w:val="single" w:color="auto" w:sz="4" w:space="0"/>
              <w:left w:val="nil"/>
              <w:bottom w:val="single" w:color="auto" w:sz="8" w:space="0"/>
              <w:right w:val="single" w:color="auto" w:sz="8" w:space="0"/>
            </w:tcBorders>
            <w:vAlign w:val="center"/>
          </w:tcPr>
          <w:p>
            <w:pPr>
              <w:pStyle w:val="8"/>
              <w:widowControl/>
              <w:spacing w:before="0" w:beforeAutospacing="0" w:after="0" w:afterAutospacing="0" w:line="600" w:lineRule="exact"/>
              <w:jc w:val="center"/>
            </w:pPr>
            <w:r>
              <w:rPr>
                <w:rFonts w:hint="eastAsia" w:ascii="宋体" w:hAnsi="宋体" w:cs="宋体"/>
                <w:color w:val="000000"/>
                <w:sz w:val="21"/>
                <w:szCs w:val="21"/>
              </w:rPr>
              <w:t>自评分</w:t>
            </w:r>
          </w:p>
        </w:tc>
      </w:tr>
      <w:tr>
        <w:tblPrEx>
          <w:tblCellMar>
            <w:top w:w="0" w:type="dxa"/>
            <w:left w:w="0" w:type="dxa"/>
            <w:bottom w:w="0" w:type="dxa"/>
            <w:right w:w="0" w:type="dxa"/>
          </w:tblCellMar>
        </w:tblPrEx>
        <w:trPr>
          <w:trHeight w:val="1006" w:hRule="atLeast"/>
          <w:jc w:val="center"/>
        </w:trPr>
        <w:tc>
          <w:tcPr>
            <w:tcW w:w="690"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投入(20分)</w:t>
            </w: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eastAsia="宋体" w:cs="宋体"/>
                <w:color w:val="000000"/>
                <w:sz w:val="21"/>
                <w:szCs w:val="21"/>
                <w:lang w:eastAsia="zh-CN"/>
              </w:rPr>
            </w:pPr>
            <w:r>
              <w:rPr>
                <w:rFonts w:hint="eastAsia" w:ascii="宋体" w:hAnsi="宋体" w:cs="宋体"/>
                <w:color w:val="000000"/>
                <w:sz w:val="21"/>
                <w:szCs w:val="21"/>
              </w:rPr>
              <w:t>目标</w:t>
            </w:r>
          </w:p>
          <w:p>
            <w:pPr>
              <w:pStyle w:val="8"/>
              <w:widowControl/>
              <w:spacing w:before="0" w:beforeAutospacing="0" w:after="0" w:afterAutospacing="0" w:line="600" w:lineRule="exact"/>
              <w:jc w:val="center"/>
              <w:rPr>
                <w:rFonts w:ascii="宋体" w:hAnsi="宋体" w:cs="宋体"/>
                <w:color w:val="000000"/>
                <w:sz w:val="21"/>
                <w:szCs w:val="21"/>
              </w:rPr>
            </w:pPr>
            <w:r>
              <w:rPr>
                <w:rFonts w:hint="eastAsia" w:ascii="宋体" w:hAnsi="宋体" w:cs="宋体"/>
                <w:color w:val="000000"/>
                <w:sz w:val="21"/>
                <w:szCs w:val="21"/>
              </w:rPr>
              <w:t>设定</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（5分）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color w:val="000000"/>
                <w:sz w:val="21"/>
                <w:szCs w:val="21"/>
              </w:rPr>
            </w:pPr>
            <w:r>
              <w:rPr>
                <w:rFonts w:hint="eastAsia" w:ascii="宋体" w:hAnsi="宋体" w:cs="宋体"/>
                <w:color w:val="000000"/>
                <w:sz w:val="21"/>
                <w:szCs w:val="21"/>
              </w:rPr>
              <w:t>绩效目标合理性</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部门所设立的整体绩效目标依据是否充分，是否符合客观实际，用以反映和考核部门整体绩效目标与部门履职、年度工作任务的相符性情况。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ascii="宋体" w:hAnsi="宋体" w:cs="宋体"/>
                <w:color w:val="000000"/>
                <w:sz w:val="21"/>
                <w:szCs w:val="21"/>
              </w:rPr>
            </w:pPr>
            <w:r>
              <w:rPr>
                <w:rFonts w:hint="eastAsia" w:ascii="宋体" w:hAnsi="宋体" w:cs="宋体"/>
                <w:color w:val="000000"/>
                <w:sz w:val="21"/>
                <w:szCs w:val="21"/>
              </w:rPr>
              <w:t>①符合国家法律法规、国民经济和社会发展总体规划计1分；</w:t>
            </w:r>
          </w:p>
          <w:p>
            <w:pPr>
              <w:pStyle w:val="8"/>
              <w:widowControl/>
              <w:spacing w:before="0" w:beforeAutospacing="0" w:after="0" w:afterAutospacing="0" w:line="600" w:lineRule="exact"/>
              <w:jc w:val="both"/>
              <w:rPr>
                <w:rFonts w:ascii="宋体" w:hAnsi="宋体" w:cs="宋体"/>
                <w:color w:val="000000"/>
                <w:sz w:val="21"/>
                <w:szCs w:val="21"/>
              </w:rPr>
            </w:pPr>
            <w:r>
              <w:rPr>
                <w:rFonts w:hint="eastAsia" w:ascii="宋体" w:hAnsi="宋体" w:cs="宋体"/>
                <w:color w:val="000000"/>
                <w:sz w:val="21"/>
                <w:szCs w:val="21"/>
              </w:rPr>
              <w:t>②符合部门“三定”方案确定的职责计0.5分；</w:t>
            </w:r>
          </w:p>
          <w:p>
            <w:pPr>
              <w:pStyle w:val="8"/>
              <w:widowControl/>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③是否符合部门制定的中长期实施规划计0.5分。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pPr>
            <w:r>
              <w:rPr>
                <w:rFonts w:hint="eastAsia"/>
              </w:rPr>
              <w:t>2</w:t>
            </w:r>
          </w:p>
        </w:tc>
      </w:tr>
      <w:tr>
        <w:tblPrEx>
          <w:tblCellMar>
            <w:top w:w="0" w:type="dxa"/>
            <w:left w:w="0" w:type="dxa"/>
            <w:bottom w:w="0" w:type="dxa"/>
            <w:right w:w="0" w:type="dxa"/>
          </w:tblCellMar>
        </w:tblPrEx>
        <w:trPr>
          <w:trHeight w:val="1096"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color w:val="000000"/>
                <w:sz w:val="21"/>
                <w:szCs w:val="21"/>
              </w:rPr>
            </w:pPr>
            <w:r>
              <w:rPr>
                <w:rFonts w:hint="eastAsia" w:ascii="宋体" w:hAnsi="宋体" w:cs="宋体"/>
                <w:color w:val="000000"/>
                <w:sz w:val="21"/>
                <w:szCs w:val="21"/>
              </w:rPr>
              <w:t>绩效指标明确性</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（3分）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部门依据整体绩效目标所设定的绩效指标是否清晰、细化、可衡量，用以反映和考核部门整体绩效目标的明细化情况。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ascii="宋体" w:hAnsi="宋体" w:cs="宋体"/>
                <w:color w:val="000000"/>
                <w:sz w:val="21"/>
                <w:szCs w:val="21"/>
              </w:rPr>
            </w:pPr>
            <w:r>
              <w:rPr>
                <w:rFonts w:hint="eastAsia" w:ascii="宋体" w:hAnsi="宋体" w:cs="宋体"/>
                <w:color w:val="000000"/>
                <w:sz w:val="21"/>
                <w:szCs w:val="21"/>
              </w:rPr>
              <w:t>①将部门整体的绩效目标细化分解为具体的工作任务计1分；</w:t>
            </w:r>
          </w:p>
          <w:p>
            <w:pPr>
              <w:pStyle w:val="8"/>
              <w:widowControl/>
              <w:spacing w:before="0" w:beforeAutospacing="0" w:after="0" w:afterAutospacing="0" w:line="600" w:lineRule="exact"/>
              <w:jc w:val="both"/>
              <w:rPr>
                <w:rFonts w:ascii="宋体" w:hAnsi="宋体" w:cs="宋体"/>
                <w:color w:val="000000"/>
                <w:sz w:val="21"/>
                <w:szCs w:val="21"/>
              </w:rPr>
            </w:pPr>
            <w:r>
              <w:rPr>
                <w:rFonts w:hint="eastAsia" w:ascii="宋体" w:hAnsi="宋体" w:cs="宋体"/>
                <w:color w:val="000000"/>
                <w:sz w:val="21"/>
                <w:szCs w:val="21"/>
              </w:rPr>
              <w:t>②通过清晰、可衡量的指标值予以体现计0.5分；</w:t>
            </w:r>
          </w:p>
          <w:p>
            <w:pPr>
              <w:pStyle w:val="8"/>
              <w:widowControl/>
              <w:spacing w:before="0" w:beforeAutospacing="0" w:after="0" w:afterAutospacing="0" w:line="600" w:lineRule="exact"/>
              <w:jc w:val="both"/>
              <w:rPr>
                <w:rFonts w:ascii="宋体" w:hAnsi="宋体" w:cs="宋体"/>
                <w:color w:val="000000"/>
                <w:sz w:val="21"/>
                <w:szCs w:val="21"/>
              </w:rPr>
            </w:pPr>
            <w:r>
              <w:rPr>
                <w:rFonts w:hint="eastAsia" w:ascii="宋体" w:hAnsi="宋体" w:cs="宋体"/>
                <w:color w:val="000000"/>
                <w:sz w:val="21"/>
                <w:szCs w:val="21"/>
              </w:rPr>
              <w:t>③与部门年度的任务数或计划数相对应计0.5分；</w:t>
            </w:r>
          </w:p>
          <w:p>
            <w:pPr>
              <w:pStyle w:val="8"/>
              <w:widowControl/>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④与本年度部门预算资金相匹配计1分。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pPr>
            <w:r>
              <w:rPr>
                <w:rFonts w:hint="eastAsia"/>
              </w:rPr>
              <w:t>3</w:t>
            </w:r>
          </w:p>
        </w:tc>
      </w:tr>
      <w:tr>
        <w:tblPrEx>
          <w:tblCellMar>
            <w:top w:w="0" w:type="dxa"/>
            <w:left w:w="0" w:type="dxa"/>
            <w:bottom w:w="0" w:type="dxa"/>
            <w:right w:w="0" w:type="dxa"/>
          </w:tblCellMar>
        </w:tblPrEx>
        <w:trPr>
          <w:trHeight w:val="1231"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eastAsia="宋体" w:cs="宋体"/>
                <w:color w:val="000000"/>
                <w:sz w:val="21"/>
                <w:szCs w:val="21"/>
                <w:lang w:eastAsia="zh-CN"/>
              </w:rPr>
            </w:pPr>
            <w:r>
              <w:rPr>
                <w:rFonts w:hint="eastAsia" w:ascii="宋体" w:hAnsi="宋体" w:cs="宋体"/>
                <w:color w:val="000000"/>
                <w:sz w:val="21"/>
                <w:szCs w:val="21"/>
              </w:rPr>
              <w:t>预算</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配置（15分）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color w:val="000000"/>
                <w:sz w:val="21"/>
                <w:szCs w:val="21"/>
              </w:rPr>
            </w:pPr>
            <w:r>
              <w:rPr>
                <w:rFonts w:hint="eastAsia" w:ascii="宋体" w:hAnsi="宋体" w:cs="宋体"/>
                <w:color w:val="000000"/>
                <w:sz w:val="21"/>
                <w:szCs w:val="21"/>
              </w:rPr>
              <w:t>在职人员控制率</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部门本年度实际在职人员数与编制数的比率，用以反映和考核部门对人员成本的控制程度。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在职人员控制率=（在职人员数/编制数）×100%小于或等于1计5分，否则按比例计分。在职人员数：部门实际在职人数，以财政部确定的部门决算编制口径为准。编制数：机构编制部门核定批复的部门的人员编制数。</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pPr>
            <w:r>
              <w:rPr>
                <w:rFonts w:hint="eastAsia"/>
              </w:rPr>
              <w:t>5</w:t>
            </w:r>
          </w:p>
        </w:tc>
      </w:tr>
      <w:tr>
        <w:tblPrEx>
          <w:tblCellMar>
            <w:top w:w="0" w:type="dxa"/>
            <w:left w:w="0" w:type="dxa"/>
            <w:bottom w:w="0" w:type="dxa"/>
            <w:right w:w="0" w:type="dxa"/>
          </w:tblCellMar>
        </w:tblPrEx>
        <w:trPr>
          <w:trHeight w:val="1238"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“三公经费”变动率（5分）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部门本年度“三公经费”预算数与上年度“三公经费”预算数的变动比率，用以反映和考核部门对控制重点行政成本的努力程度。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三公经费”变动率=[（本年度“三公经费”总额-上年度“三公经费”总额）/上年度“三公经费”总额]×100%。下降的计5分，增加的按比例扣减。“三公经费”：年度预算安排的因公出国（境）费、公务车辆购置及运行费和公务招待费。</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pPr>
            <w:r>
              <w:rPr>
                <w:rFonts w:hint="eastAsia"/>
              </w:rPr>
              <w:t>4</w:t>
            </w:r>
          </w:p>
        </w:tc>
      </w:tr>
      <w:tr>
        <w:tblPrEx>
          <w:tblCellMar>
            <w:top w:w="0" w:type="dxa"/>
            <w:left w:w="0" w:type="dxa"/>
            <w:bottom w:w="0" w:type="dxa"/>
            <w:right w:w="0" w:type="dxa"/>
          </w:tblCellMar>
        </w:tblPrEx>
        <w:trPr>
          <w:trHeight w:val="1550"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color w:val="000000"/>
                <w:sz w:val="21"/>
                <w:szCs w:val="21"/>
              </w:rPr>
            </w:pPr>
            <w:r>
              <w:rPr>
                <w:rFonts w:hint="eastAsia" w:ascii="宋体" w:hAnsi="宋体" w:cs="宋体"/>
                <w:color w:val="000000"/>
                <w:sz w:val="21"/>
                <w:szCs w:val="21"/>
              </w:rPr>
              <w:t>重点支出安排率</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部门本年度预算安排的重点项目支出与部门项目总支出的比率，用以反映和考核部门对履行主要职责或完成重点任务的保障程度。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pPr>
            <w:r>
              <w:rPr>
                <w:rFonts w:hint="eastAsia"/>
              </w:rPr>
              <w:t>5</w:t>
            </w:r>
          </w:p>
        </w:tc>
      </w:tr>
      <w:tr>
        <w:tblPrEx>
          <w:tblCellMar>
            <w:top w:w="0" w:type="dxa"/>
            <w:left w:w="0" w:type="dxa"/>
            <w:bottom w:w="0" w:type="dxa"/>
            <w:right w:w="0" w:type="dxa"/>
          </w:tblCellMar>
        </w:tblPrEx>
        <w:trPr>
          <w:trHeight w:val="976" w:hRule="atLeast"/>
          <w:jc w:val="center"/>
        </w:trPr>
        <w:tc>
          <w:tcPr>
            <w:tcW w:w="690"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color w:val="000000"/>
                <w:sz w:val="21"/>
                <w:szCs w:val="21"/>
              </w:rPr>
            </w:pPr>
            <w:r>
              <w:rPr>
                <w:rFonts w:hint="eastAsia" w:ascii="宋体" w:hAnsi="宋体" w:cs="宋体"/>
                <w:color w:val="000000"/>
                <w:sz w:val="21"/>
                <w:szCs w:val="21"/>
              </w:rPr>
              <w:t>过程</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(40分)</w:t>
            </w: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eastAsia="宋体" w:cs="宋体"/>
                <w:color w:val="000000"/>
                <w:sz w:val="21"/>
                <w:szCs w:val="21"/>
                <w:lang w:eastAsia="zh-CN"/>
              </w:rPr>
            </w:pPr>
            <w:r>
              <w:rPr>
                <w:rFonts w:hint="eastAsia" w:ascii="宋体" w:hAnsi="宋体" w:cs="宋体"/>
                <w:color w:val="000000"/>
                <w:sz w:val="21"/>
                <w:szCs w:val="21"/>
              </w:rPr>
              <w:t>预算</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执行</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(23分)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color w:val="000000"/>
                <w:sz w:val="21"/>
                <w:szCs w:val="21"/>
              </w:rPr>
            </w:pPr>
            <w:r>
              <w:rPr>
                <w:rFonts w:hint="eastAsia" w:ascii="宋体" w:hAnsi="宋体" w:cs="宋体"/>
                <w:color w:val="000000"/>
                <w:sz w:val="21"/>
                <w:szCs w:val="21"/>
              </w:rPr>
              <w:t>预算</w:t>
            </w:r>
          </w:p>
          <w:p>
            <w:pPr>
              <w:pStyle w:val="8"/>
              <w:widowControl/>
              <w:spacing w:before="0" w:beforeAutospacing="0" w:after="0" w:afterAutospacing="0" w:line="600" w:lineRule="exact"/>
              <w:jc w:val="center"/>
              <w:rPr>
                <w:rFonts w:ascii="宋体" w:hAnsi="宋体" w:cs="宋体"/>
                <w:color w:val="000000"/>
                <w:sz w:val="21"/>
                <w:szCs w:val="21"/>
              </w:rPr>
            </w:pPr>
            <w:r>
              <w:rPr>
                <w:rFonts w:hint="eastAsia" w:ascii="宋体" w:hAnsi="宋体" w:cs="宋体"/>
                <w:color w:val="000000"/>
                <w:sz w:val="21"/>
                <w:szCs w:val="21"/>
              </w:rPr>
              <w:t>完成率</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（4分）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部门本年度预算完成数与预算数的比率，用以反映和考核部门预算完成程度。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预算完成率=（预算完成数/预算数）×100%。完成年初预算计4分，未完成年初预算按比例扣减，预算完成数：部门本年度实际完成的预算数。预算数：财政部门批复的本年度部门预算数。</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pPr>
            <w:r>
              <w:rPr>
                <w:rFonts w:hint="eastAsia"/>
              </w:rPr>
              <w:t>3.5</w:t>
            </w:r>
          </w:p>
        </w:tc>
      </w:tr>
      <w:tr>
        <w:tblPrEx>
          <w:tblCellMar>
            <w:top w:w="0" w:type="dxa"/>
            <w:left w:w="0" w:type="dxa"/>
            <w:bottom w:w="0" w:type="dxa"/>
            <w:right w:w="0" w:type="dxa"/>
          </w:tblCellMar>
        </w:tblPrEx>
        <w:trPr>
          <w:trHeight w:val="1500"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color w:val="000000"/>
                <w:sz w:val="21"/>
                <w:szCs w:val="21"/>
              </w:rPr>
            </w:pPr>
            <w:r>
              <w:rPr>
                <w:rFonts w:hint="eastAsia" w:ascii="宋体" w:hAnsi="宋体" w:cs="宋体"/>
                <w:color w:val="000000"/>
                <w:sz w:val="21"/>
                <w:szCs w:val="21"/>
              </w:rPr>
              <w:t>预算</w:t>
            </w:r>
          </w:p>
          <w:p>
            <w:pPr>
              <w:pStyle w:val="8"/>
              <w:widowControl/>
              <w:spacing w:before="0" w:beforeAutospacing="0" w:after="0" w:afterAutospacing="0" w:line="600" w:lineRule="exact"/>
              <w:jc w:val="center"/>
              <w:rPr>
                <w:rFonts w:ascii="宋体" w:hAnsi="宋体" w:cs="宋体"/>
                <w:color w:val="000000"/>
                <w:sz w:val="21"/>
                <w:szCs w:val="21"/>
              </w:rPr>
            </w:pPr>
            <w:r>
              <w:rPr>
                <w:rFonts w:hint="eastAsia" w:ascii="宋体" w:hAnsi="宋体" w:cs="宋体"/>
                <w:color w:val="000000"/>
                <w:sz w:val="21"/>
                <w:szCs w:val="21"/>
              </w:rPr>
              <w:t>调整率</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部门本年度预算调整数与预算数的比率，用以反映和考核部门预算的调整程度。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pPr>
            <w:r>
              <w:rPr>
                <w:rFonts w:hint="eastAsia"/>
              </w:rPr>
              <w:t>2</w:t>
            </w:r>
          </w:p>
        </w:tc>
      </w:tr>
      <w:tr>
        <w:tblPrEx>
          <w:tblCellMar>
            <w:top w:w="0" w:type="dxa"/>
            <w:left w:w="0" w:type="dxa"/>
            <w:bottom w:w="0" w:type="dxa"/>
            <w:right w:w="0" w:type="dxa"/>
          </w:tblCellMar>
        </w:tblPrEx>
        <w:trPr>
          <w:trHeight w:val="1770"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color w:val="000000"/>
                <w:sz w:val="21"/>
                <w:szCs w:val="21"/>
              </w:rPr>
            </w:pPr>
            <w:r>
              <w:rPr>
                <w:rFonts w:hint="eastAsia" w:ascii="宋体" w:hAnsi="宋体" w:cs="宋体"/>
                <w:color w:val="000000"/>
                <w:sz w:val="21"/>
                <w:szCs w:val="21"/>
              </w:rPr>
              <w:t>支付</w:t>
            </w:r>
          </w:p>
          <w:p>
            <w:pPr>
              <w:pStyle w:val="8"/>
              <w:widowControl/>
              <w:spacing w:before="0" w:beforeAutospacing="0" w:after="0" w:afterAutospacing="0" w:line="600" w:lineRule="exact"/>
              <w:jc w:val="center"/>
              <w:rPr>
                <w:rFonts w:ascii="宋体" w:hAnsi="宋体" w:cs="宋体"/>
                <w:color w:val="000000"/>
                <w:sz w:val="21"/>
                <w:szCs w:val="21"/>
              </w:rPr>
            </w:pPr>
            <w:r>
              <w:rPr>
                <w:rFonts w:hint="eastAsia" w:ascii="宋体" w:hAnsi="宋体" w:cs="宋体"/>
                <w:color w:val="000000"/>
                <w:sz w:val="21"/>
                <w:szCs w:val="21"/>
              </w:rPr>
              <w:t>进度率</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部门实际支付进度与既定支付进度的比率，用以反映和考核部门预算执行的及时性和均衡性程度。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pPr>
            <w:r>
              <w:rPr>
                <w:rFonts w:hint="eastAsia"/>
              </w:rPr>
              <w:t>2</w:t>
            </w:r>
          </w:p>
        </w:tc>
      </w:tr>
      <w:tr>
        <w:tblPrEx>
          <w:tblCellMar>
            <w:top w:w="0" w:type="dxa"/>
            <w:left w:w="0" w:type="dxa"/>
            <w:bottom w:w="0" w:type="dxa"/>
            <w:right w:w="0" w:type="dxa"/>
          </w:tblCellMar>
        </w:tblPrEx>
        <w:trPr>
          <w:trHeight w:val="1231"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color w:val="000000"/>
                <w:sz w:val="21"/>
                <w:szCs w:val="21"/>
              </w:rPr>
            </w:pPr>
            <w:r>
              <w:rPr>
                <w:rFonts w:hint="eastAsia" w:ascii="宋体" w:hAnsi="宋体" w:cs="宋体"/>
                <w:color w:val="000000"/>
                <w:sz w:val="21"/>
                <w:szCs w:val="21"/>
              </w:rPr>
              <w:t>结转结余控制率</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（4分）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部门本年度结转结余总额与上年结转结余总额增减比例，用以反映和考核部门对存量资金的实际控制程度。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结转结余控制率=（本年结转结余总额-上年结转结余总额）/上年结转结余总额×100%。低于15%的计4分，每超过5个百分点扣1分，扣完为止。结转结余总额：部门本年度的结转资金与结余资金之和（以决算数为准）。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pPr>
            <w:r>
              <w:rPr>
                <w:rFonts w:hint="eastAsia"/>
              </w:rPr>
              <w:t>3.5</w:t>
            </w:r>
          </w:p>
        </w:tc>
      </w:tr>
      <w:tr>
        <w:tblPrEx>
          <w:tblCellMar>
            <w:top w:w="0" w:type="dxa"/>
            <w:left w:w="0" w:type="dxa"/>
            <w:bottom w:w="0" w:type="dxa"/>
            <w:right w:w="0" w:type="dxa"/>
          </w:tblCellMar>
        </w:tblPrEx>
        <w:trPr>
          <w:trHeight w:val="936"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公用经费</w:t>
            </w:r>
          </w:p>
          <w:p>
            <w:pPr>
              <w:pStyle w:val="8"/>
              <w:widowControl/>
              <w:spacing w:before="0" w:beforeAutospacing="0" w:after="0" w:afterAutospacing="0" w:line="600" w:lineRule="exact"/>
              <w:jc w:val="center"/>
              <w:rPr>
                <w:rFonts w:ascii="宋体" w:hAnsi="宋体" w:cs="宋体"/>
                <w:color w:val="000000"/>
                <w:sz w:val="21"/>
                <w:szCs w:val="21"/>
              </w:rPr>
            </w:pPr>
            <w:r>
              <w:rPr>
                <w:rFonts w:hint="eastAsia" w:ascii="宋体" w:hAnsi="宋体" w:cs="宋体"/>
                <w:color w:val="000000"/>
                <w:sz w:val="21"/>
                <w:szCs w:val="21"/>
              </w:rPr>
              <w:t>控制率</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（4分）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部门本年度实际支出的公用经费总额与预算安排的公用经费总额的比率，用以反映和考核部门对机构运转成本的实际控制程度。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公用经费控制率=（实际支出公用经费总额/预算安排公用经费总额）×100%。为100%的计4分，每超过1个百分点扣0.1分，扣完为止。</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pPr>
            <w:r>
              <w:rPr>
                <w:rFonts w:hint="eastAsia"/>
              </w:rPr>
              <w:t>3</w:t>
            </w:r>
          </w:p>
        </w:tc>
      </w:tr>
      <w:tr>
        <w:tblPrEx>
          <w:tblCellMar>
            <w:top w:w="0" w:type="dxa"/>
            <w:left w:w="0" w:type="dxa"/>
            <w:bottom w:w="0" w:type="dxa"/>
            <w:right w:w="0" w:type="dxa"/>
          </w:tblCellMar>
        </w:tblPrEx>
        <w:trPr>
          <w:trHeight w:val="87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“三公经费”控制率（3分）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部门本年度“三公经费”实际支出数与预算安排数的比率，用以反映和考核部门对“三公经费”的实际控制程度。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“三公经费”控制率=（“三公经费”实际支出数/“三公经费”预算安排数）×100%。为100%的计3分，每超过1个百分点扣0.5分，扣完为止。</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pPr>
            <w:r>
              <w:rPr>
                <w:rFonts w:hint="eastAsia"/>
              </w:rPr>
              <w:t>3</w:t>
            </w:r>
          </w:p>
        </w:tc>
      </w:tr>
      <w:tr>
        <w:tblPrEx>
          <w:tblCellMar>
            <w:top w:w="0" w:type="dxa"/>
            <w:left w:w="0" w:type="dxa"/>
            <w:bottom w:w="0" w:type="dxa"/>
            <w:right w:w="0" w:type="dxa"/>
          </w:tblCellMar>
        </w:tblPrEx>
        <w:trPr>
          <w:trHeight w:val="1283"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政府采购</w:t>
            </w:r>
          </w:p>
          <w:p>
            <w:pPr>
              <w:pStyle w:val="8"/>
              <w:widowControl/>
              <w:spacing w:before="0" w:beforeAutospacing="0" w:after="0" w:afterAutospacing="0" w:line="600" w:lineRule="exact"/>
              <w:jc w:val="center"/>
              <w:rPr>
                <w:rFonts w:ascii="宋体" w:hAnsi="宋体" w:cs="宋体"/>
                <w:color w:val="000000"/>
                <w:sz w:val="21"/>
                <w:szCs w:val="21"/>
              </w:rPr>
            </w:pPr>
            <w:r>
              <w:rPr>
                <w:rFonts w:hint="eastAsia" w:ascii="宋体" w:hAnsi="宋体" w:cs="宋体"/>
                <w:color w:val="000000"/>
                <w:sz w:val="21"/>
                <w:szCs w:val="21"/>
              </w:rPr>
              <w:t>执行率</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（4分）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部门本年度实际政府采购金额与年初政府采购预算的比率，用以反映和考核部门政府采购预算执行情况。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pPr>
            <w:r>
              <w:rPr>
                <w:rFonts w:hint="eastAsia"/>
              </w:rPr>
              <w:t>4</w:t>
            </w:r>
          </w:p>
        </w:tc>
      </w:tr>
      <w:tr>
        <w:tblPrEx>
          <w:tblCellMar>
            <w:top w:w="0" w:type="dxa"/>
            <w:left w:w="0" w:type="dxa"/>
            <w:bottom w:w="0" w:type="dxa"/>
            <w:right w:w="0" w:type="dxa"/>
          </w:tblCellMar>
        </w:tblPrEx>
        <w:trPr>
          <w:trHeight w:val="952"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预算</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管理</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(12分)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管理制度</w:t>
            </w:r>
          </w:p>
          <w:p>
            <w:pPr>
              <w:pStyle w:val="8"/>
              <w:widowControl/>
              <w:spacing w:before="0" w:beforeAutospacing="0" w:after="0" w:afterAutospacing="0" w:line="600" w:lineRule="exact"/>
              <w:jc w:val="center"/>
              <w:rPr>
                <w:rFonts w:ascii="宋体" w:hAnsi="宋体" w:cs="宋体"/>
                <w:color w:val="000000"/>
                <w:sz w:val="21"/>
                <w:szCs w:val="21"/>
              </w:rPr>
            </w:pPr>
            <w:r>
              <w:rPr>
                <w:rFonts w:hint="eastAsia" w:ascii="宋体" w:hAnsi="宋体" w:cs="宋体"/>
                <w:color w:val="000000"/>
                <w:sz w:val="21"/>
                <w:szCs w:val="21"/>
              </w:rPr>
              <w:t>健全性</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部门为加强预算管理、规范财务行为而制定的管理制度是否健全完整，用以反映和考核部门预算管理制度对完成主要职责或促进事业发展的保障情况。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已制定或具有预算资金管理办法、内部财务管理制度、会计核算制度等管理制度计1分；相关管理制度合法、合规、完整计0.5分；相关管理制度得到有效执行计0.5分。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pPr>
            <w:r>
              <w:rPr>
                <w:rFonts w:hint="eastAsia"/>
              </w:rPr>
              <w:t>2</w:t>
            </w:r>
          </w:p>
        </w:tc>
      </w:tr>
      <w:tr>
        <w:tblPrEx>
          <w:tblCellMar>
            <w:top w:w="0" w:type="dxa"/>
            <w:left w:w="0" w:type="dxa"/>
            <w:bottom w:w="0" w:type="dxa"/>
            <w:right w:w="0" w:type="dxa"/>
          </w:tblCellMar>
        </w:tblPrEx>
        <w:trPr>
          <w:trHeight w:val="1605"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资金使用</w:t>
            </w:r>
          </w:p>
          <w:p>
            <w:pPr>
              <w:pStyle w:val="8"/>
              <w:widowControl/>
              <w:spacing w:before="0" w:beforeAutospacing="0" w:after="0" w:afterAutospacing="0" w:line="600" w:lineRule="exact"/>
              <w:jc w:val="center"/>
              <w:rPr>
                <w:rFonts w:ascii="宋体" w:hAnsi="宋体" w:cs="宋体"/>
                <w:color w:val="000000"/>
                <w:sz w:val="21"/>
                <w:szCs w:val="21"/>
              </w:rPr>
            </w:pPr>
            <w:r>
              <w:rPr>
                <w:rFonts w:hint="eastAsia" w:ascii="宋体" w:hAnsi="宋体" w:cs="宋体"/>
                <w:color w:val="000000"/>
                <w:sz w:val="21"/>
                <w:szCs w:val="21"/>
              </w:rPr>
              <w:t>合规性</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部门使用预算资金是否符合相关的预算财务管理制度的规定，用以反映和考核部门预算资金的规范运行情况。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ascii="宋体" w:hAnsi="宋体" w:cs="宋体"/>
                <w:color w:val="000000"/>
                <w:sz w:val="21"/>
                <w:szCs w:val="21"/>
              </w:rPr>
            </w:pPr>
            <w:r>
              <w:rPr>
                <w:rFonts w:hint="eastAsia" w:ascii="宋体" w:hAnsi="宋体" w:cs="宋体"/>
                <w:color w:val="000000"/>
                <w:sz w:val="21"/>
                <w:szCs w:val="21"/>
              </w:rPr>
              <w:t>①符合国家财经法规和财务管理制度规定以及有关专项资金管理办法的规定计1分；</w:t>
            </w:r>
          </w:p>
          <w:p>
            <w:pPr>
              <w:pStyle w:val="8"/>
              <w:widowControl/>
              <w:spacing w:before="0" w:beforeAutospacing="0" w:after="0" w:afterAutospacing="0" w:line="600" w:lineRule="exact"/>
              <w:jc w:val="both"/>
              <w:rPr>
                <w:rFonts w:ascii="宋体" w:hAnsi="宋体" w:cs="宋体"/>
                <w:color w:val="000000"/>
                <w:sz w:val="21"/>
                <w:szCs w:val="21"/>
              </w:rPr>
            </w:pPr>
            <w:r>
              <w:rPr>
                <w:rFonts w:hint="eastAsia" w:ascii="宋体" w:hAnsi="宋体" w:cs="宋体"/>
                <w:color w:val="000000"/>
                <w:sz w:val="21"/>
                <w:szCs w:val="21"/>
              </w:rPr>
              <w:t>②资金的拨付有完整的审批程序和手续计1分；</w:t>
            </w:r>
          </w:p>
          <w:p>
            <w:pPr>
              <w:pStyle w:val="8"/>
              <w:widowControl/>
              <w:spacing w:before="0" w:beforeAutospacing="0" w:after="0" w:afterAutospacing="0" w:line="600" w:lineRule="exact"/>
              <w:jc w:val="both"/>
              <w:rPr>
                <w:rFonts w:ascii="宋体" w:hAnsi="宋体" w:cs="宋体"/>
                <w:color w:val="000000"/>
                <w:sz w:val="21"/>
                <w:szCs w:val="21"/>
              </w:rPr>
            </w:pPr>
            <w:r>
              <w:rPr>
                <w:rFonts w:hint="eastAsia" w:ascii="宋体" w:hAnsi="宋体" w:cs="宋体"/>
                <w:color w:val="000000"/>
                <w:sz w:val="21"/>
                <w:szCs w:val="21"/>
              </w:rPr>
              <w:t>③项目的重大开支经过评估论证计1分；</w:t>
            </w:r>
          </w:p>
          <w:p>
            <w:pPr>
              <w:pStyle w:val="8"/>
              <w:widowControl/>
              <w:spacing w:before="0" w:beforeAutospacing="0" w:after="0" w:afterAutospacing="0" w:line="600" w:lineRule="exact"/>
              <w:jc w:val="both"/>
              <w:rPr>
                <w:rFonts w:ascii="宋体" w:hAnsi="宋体" w:cs="宋体"/>
                <w:color w:val="000000"/>
                <w:sz w:val="21"/>
                <w:szCs w:val="21"/>
              </w:rPr>
            </w:pPr>
            <w:r>
              <w:rPr>
                <w:rFonts w:hint="eastAsia" w:ascii="宋体" w:hAnsi="宋体" w:cs="宋体"/>
                <w:color w:val="000000"/>
                <w:sz w:val="21"/>
                <w:szCs w:val="21"/>
              </w:rPr>
              <w:t>④符合部门预算批复的用途计1分；</w:t>
            </w:r>
          </w:p>
          <w:p>
            <w:pPr>
              <w:pStyle w:val="8"/>
              <w:widowControl/>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⑤不存在截留、挤占、挪用、虚列支出等情况计1分。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pPr>
            <w:r>
              <w:rPr>
                <w:rFonts w:hint="eastAsia"/>
              </w:rPr>
              <w:t>5</w:t>
            </w:r>
          </w:p>
        </w:tc>
      </w:tr>
      <w:tr>
        <w:tblPrEx>
          <w:tblCellMar>
            <w:top w:w="0" w:type="dxa"/>
            <w:left w:w="0" w:type="dxa"/>
            <w:bottom w:w="0" w:type="dxa"/>
            <w:right w:w="0" w:type="dxa"/>
          </w:tblCellMar>
        </w:tblPrEx>
        <w:trPr>
          <w:trHeight w:val="125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预决算信</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息公开性（2分）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部门是否按照政府信息公开有关规定公开相关预决算信息，用以反映和考核部门预决算管理的公开透明情况。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ascii="宋体" w:hAnsi="宋体" w:cs="宋体"/>
                <w:color w:val="000000"/>
                <w:sz w:val="21"/>
                <w:szCs w:val="21"/>
              </w:rPr>
            </w:pPr>
            <w:r>
              <w:rPr>
                <w:rFonts w:hint="eastAsia" w:ascii="宋体" w:hAnsi="宋体" w:cs="宋体"/>
                <w:color w:val="000000"/>
                <w:sz w:val="21"/>
                <w:szCs w:val="21"/>
              </w:rPr>
              <w:t>①按规定内容公开预决算信息计1分；</w:t>
            </w:r>
          </w:p>
          <w:p>
            <w:pPr>
              <w:pStyle w:val="8"/>
              <w:widowControl/>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②按规定时限公开预决算信息计1分。预决算信息是指与部门预算、执行、决算、监督、绩效等管理相关的信息。</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pPr>
            <w:r>
              <w:rPr>
                <w:rFonts w:hint="eastAsia"/>
              </w:rPr>
              <w:t>2</w:t>
            </w:r>
          </w:p>
        </w:tc>
      </w:tr>
      <w:tr>
        <w:tblPrEx>
          <w:tblCellMar>
            <w:top w:w="0" w:type="dxa"/>
            <w:left w:w="0" w:type="dxa"/>
            <w:bottom w:w="0" w:type="dxa"/>
            <w:right w:w="0" w:type="dxa"/>
          </w:tblCellMar>
        </w:tblPrEx>
        <w:trPr>
          <w:trHeight w:val="93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基础信息</w:t>
            </w:r>
          </w:p>
          <w:p>
            <w:pPr>
              <w:pStyle w:val="8"/>
              <w:widowControl/>
              <w:spacing w:before="0" w:beforeAutospacing="0" w:after="0" w:afterAutospacing="0" w:line="600" w:lineRule="exact"/>
              <w:jc w:val="center"/>
              <w:rPr>
                <w:rFonts w:ascii="宋体" w:hAnsi="宋体" w:cs="宋体"/>
                <w:color w:val="000000"/>
                <w:sz w:val="21"/>
                <w:szCs w:val="21"/>
              </w:rPr>
            </w:pPr>
            <w:r>
              <w:rPr>
                <w:rFonts w:hint="eastAsia" w:ascii="宋体" w:hAnsi="宋体" w:cs="宋体"/>
                <w:color w:val="000000"/>
                <w:sz w:val="21"/>
                <w:szCs w:val="21"/>
              </w:rPr>
              <w:t>完善性</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（3分）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部门基础信息是否完善，用以反映和考核基础信息对预算管理工作的支撑情况。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ascii="宋体" w:hAnsi="宋体" w:cs="宋体"/>
                <w:color w:val="000000"/>
                <w:sz w:val="21"/>
                <w:szCs w:val="21"/>
              </w:rPr>
            </w:pPr>
            <w:r>
              <w:rPr>
                <w:rFonts w:hint="eastAsia" w:ascii="宋体" w:hAnsi="宋体" w:cs="宋体"/>
                <w:color w:val="000000"/>
                <w:sz w:val="21"/>
                <w:szCs w:val="21"/>
              </w:rPr>
              <w:t>①基础数据信息和会计信息资料真实计1分；</w:t>
            </w:r>
          </w:p>
          <w:p>
            <w:pPr>
              <w:pStyle w:val="8"/>
              <w:widowControl/>
              <w:spacing w:before="0" w:beforeAutospacing="0" w:after="0" w:afterAutospacing="0" w:line="600" w:lineRule="exact"/>
              <w:jc w:val="both"/>
              <w:rPr>
                <w:rFonts w:ascii="宋体" w:hAnsi="宋体" w:cs="宋体"/>
                <w:color w:val="000000"/>
                <w:sz w:val="21"/>
                <w:szCs w:val="21"/>
              </w:rPr>
            </w:pPr>
            <w:r>
              <w:rPr>
                <w:rFonts w:hint="eastAsia" w:ascii="宋体" w:hAnsi="宋体" w:cs="宋体"/>
                <w:color w:val="000000"/>
                <w:sz w:val="21"/>
                <w:szCs w:val="21"/>
              </w:rPr>
              <w:t>②基础数据信息和会计信息资料完整计1分；</w:t>
            </w:r>
          </w:p>
          <w:p>
            <w:pPr>
              <w:pStyle w:val="8"/>
              <w:widowControl/>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③基础数据信息和会计信息资料准确计1分。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pPr>
            <w:r>
              <w:rPr>
                <w:rFonts w:hint="eastAsia"/>
              </w:rPr>
              <w:t>3</w:t>
            </w:r>
          </w:p>
        </w:tc>
      </w:tr>
      <w:tr>
        <w:tblPrEx>
          <w:tblCellMar>
            <w:top w:w="0" w:type="dxa"/>
            <w:left w:w="0" w:type="dxa"/>
            <w:bottom w:w="0" w:type="dxa"/>
            <w:right w:w="0" w:type="dxa"/>
          </w:tblCellMar>
        </w:tblPrEx>
        <w:trPr>
          <w:trHeight w:val="968"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eastAsia="宋体" w:cs="宋体"/>
                <w:color w:val="000000"/>
                <w:sz w:val="21"/>
                <w:szCs w:val="21"/>
                <w:lang w:eastAsia="zh-CN"/>
              </w:rPr>
            </w:pPr>
            <w:r>
              <w:rPr>
                <w:rFonts w:hint="eastAsia" w:ascii="宋体" w:hAnsi="宋体" w:cs="宋体"/>
                <w:color w:val="000000"/>
                <w:sz w:val="21"/>
                <w:szCs w:val="21"/>
              </w:rPr>
              <w:t>资产</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管理</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（5分）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管理制度</w:t>
            </w:r>
          </w:p>
          <w:p>
            <w:pPr>
              <w:pStyle w:val="8"/>
              <w:widowControl/>
              <w:spacing w:before="0" w:beforeAutospacing="0" w:after="0" w:afterAutospacing="0" w:line="600" w:lineRule="exact"/>
              <w:jc w:val="center"/>
              <w:rPr>
                <w:rFonts w:ascii="宋体" w:hAnsi="宋体" w:cs="宋体"/>
                <w:color w:val="000000"/>
                <w:sz w:val="21"/>
                <w:szCs w:val="21"/>
              </w:rPr>
            </w:pPr>
            <w:r>
              <w:rPr>
                <w:rFonts w:hint="eastAsia" w:ascii="宋体" w:hAnsi="宋体" w:cs="宋体"/>
                <w:color w:val="000000"/>
                <w:sz w:val="21"/>
                <w:szCs w:val="21"/>
              </w:rPr>
              <w:t>健全性</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部门为加强资产管理、规范资产管理行为而制定的管理制度是否健全完整，用以反映和考核部门资产管理制度对完成主要职责或促进社会发展的保障情况。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ascii="宋体" w:hAnsi="宋体" w:cs="宋体"/>
                <w:color w:val="000000"/>
                <w:sz w:val="21"/>
                <w:szCs w:val="21"/>
              </w:rPr>
            </w:pPr>
            <w:r>
              <w:rPr>
                <w:rFonts w:hint="eastAsia" w:ascii="宋体" w:hAnsi="宋体" w:cs="宋体"/>
                <w:color w:val="000000"/>
                <w:sz w:val="21"/>
                <w:szCs w:val="21"/>
              </w:rPr>
              <w:t>①制定或具有资产管理制度计1分；</w:t>
            </w:r>
          </w:p>
          <w:p>
            <w:pPr>
              <w:pStyle w:val="8"/>
              <w:widowControl/>
              <w:spacing w:before="0" w:beforeAutospacing="0" w:after="0" w:afterAutospacing="0" w:line="600" w:lineRule="exact"/>
              <w:jc w:val="both"/>
              <w:rPr>
                <w:rFonts w:ascii="宋体" w:hAnsi="宋体" w:cs="宋体"/>
                <w:color w:val="000000"/>
                <w:sz w:val="21"/>
                <w:szCs w:val="21"/>
              </w:rPr>
            </w:pPr>
            <w:r>
              <w:rPr>
                <w:rFonts w:hint="eastAsia" w:ascii="宋体" w:hAnsi="宋体" w:cs="宋体"/>
                <w:color w:val="000000"/>
                <w:sz w:val="21"/>
                <w:szCs w:val="21"/>
              </w:rPr>
              <w:t>②相关资金管理制度合法、合规、完整计0.5分；</w:t>
            </w:r>
          </w:p>
          <w:p>
            <w:pPr>
              <w:pStyle w:val="8"/>
              <w:widowControl/>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③相关资产管理制度得到有效执行计0.5分。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pPr>
            <w:r>
              <w:rPr>
                <w:rFonts w:hint="eastAsia"/>
              </w:rPr>
              <w:t>2</w:t>
            </w:r>
          </w:p>
        </w:tc>
      </w:tr>
      <w:tr>
        <w:tblPrEx>
          <w:tblCellMar>
            <w:top w:w="0" w:type="dxa"/>
            <w:left w:w="0" w:type="dxa"/>
            <w:bottom w:w="0" w:type="dxa"/>
            <w:right w:w="0" w:type="dxa"/>
          </w:tblCellMar>
        </w:tblPrEx>
        <w:trPr>
          <w:trHeight w:val="1566"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资产管理</w:t>
            </w:r>
          </w:p>
          <w:p>
            <w:pPr>
              <w:pStyle w:val="8"/>
              <w:widowControl/>
              <w:spacing w:before="0" w:beforeAutospacing="0" w:after="0" w:afterAutospacing="0" w:line="600" w:lineRule="exact"/>
              <w:jc w:val="center"/>
              <w:rPr>
                <w:rFonts w:ascii="宋体" w:hAnsi="宋体" w:cs="宋体"/>
                <w:color w:val="000000"/>
                <w:sz w:val="21"/>
                <w:szCs w:val="21"/>
              </w:rPr>
            </w:pPr>
            <w:r>
              <w:rPr>
                <w:rFonts w:hint="eastAsia" w:ascii="宋体" w:hAnsi="宋体" w:cs="宋体"/>
                <w:color w:val="000000"/>
                <w:sz w:val="21"/>
                <w:szCs w:val="21"/>
              </w:rPr>
              <w:t>安全性</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761"/>
                <w:tab w:val="left" w:pos="2604"/>
              </w:tabs>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部门的资产是否保存完整、使用合规、配置合理、处置规范、收入及时足额上缴，用以反映和考核部门资产安全运行情况。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ascii="宋体" w:hAnsi="宋体" w:cs="宋体"/>
                <w:color w:val="000000"/>
                <w:sz w:val="21"/>
                <w:szCs w:val="21"/>
              </w:rPr>
            </w:pPr>
            <w:r>
              <w:rPr>
                <w:rFonts w:hint="eastAsia" w:ascii="宋体" w:hAnsi="宋体" w:cs="宋体"/>
                <w:color w:val="000000"/>
                <w:sz w:val="21"/>
                <w:szCs w:val="21"/>
              </w:rPr>
              <w:t>①资产保存完整计0.4分；</w:t>
            </w:r>
          </w:p>
          <w:p>
            <w:pPr>
              <w:pStyle w:val="8"/>
              <w:widowControl/>
              <w:spacing w:before="0" w:beforeAutospacing="0" w:after="0" w:afterAutospacing="0" w:line="600" w:lineRule="exact"/>
              <w:jc w:val="both"/>
              <w:rPr>
                <w:rFonts w:ascii="宋体" w:hAnsi="宋体" w:cs="宋体"/>
                <w:color w:val="000000"/>
                <w:sz w:val="21"/>
                <w:szCs w:val="21"/>
              </w:rPr>
            </w:pPr>
            <w:r>
              <w:rPr>
                <w:rFonts w:hint="eastAsia" w:ascii="宋体" w:hAnsi="宋体" w:cs="宋体"/>
                <w:color w:val="000000"/>
                <w:sz w:val="21"/>
                <w:szCs w:val="21"/>
              </w:rPr>
              <w:t>②资产配置合理计0.4分；</w:t>
            </w:r>
          </w:p>
          <w:p>
            <w:pPr>
              <w:pStyle w:val="8"/>
              <w:widowControl/>
              <w:spacing w:before="0" w:beforeAutospacing="0" w:after="0" w:afterAutospacing="0" w:line="600" w:lineRule="exact"/>
              <w:jc w:val="both"/>
              <w:rPr>
                <w:rFonts w:ascii="宋体" w:hAnsi="宋体" w:cs="宋体"/>
                <w:color w:val="000000"/>
                <w:sz w:val="21"/>
                <w:szCs w:val="21"/>
              </w:rPr>
            </w:pPr>
            <w:r>
              <w:rPr>
                <w:rFonts w:hint="eastAsia" w:ascii="宋体" w:hAnsi="宋体" w:cs="宋体"/>
                <w:color w:val="000000"/>
                <w:sz w:val="21"/>
                <w:szCs w:val="21"/>
              </w:rPr>
              <w:t>③资产处置规范计0.4分；</w:t>
            </w:r>
          </w:p>
          <w:p>
            <w:pPr>
              <w:pStyle w:val="8"/>
              <w:widowControl/>
              <w:spacing w:before="0" w:beforeAutospacing="0" w:after="0" w:afterAutospacing="0" w:line="600" w:lineRule="exact"/>
              <w:jc w:val="both"/>
              <w:rPr>
                <w:rFonts w:ascii="宋体" w:hAnsi="宋体" w:cs="宋体"/>
                <w:color w:val="000000"/>
                <w:sz w:val="21"/>
                <w:szCs w:val="21"/>
              </w:rPr>
            </w:pPr>
            <w:r>
              <w:rPr>
                <w:rFonts w:hint="eastAsia" w:ascii="宋体" w:hAnsi="宋体" w:cs="宋体"/>
                <w:color w:val="000000"/>
                <w:sz w:val="21"/>
                <w:szCs w:val="21"/>
              </w:rPr>
              <w:t>④资产账务管理合规、</w:t>
            </w:r>
            <w:r>
              <w:rPr>
                <w:rFonts w:hint="eastAsia" w:ascii="宋体" w:hAnsi="宋体" w:cs="宋体"/>
                <w:color w:val="000000"/>
                <w:sz w:val="21"/>
                <w:szCs w:val="21"/>
                <w:lang w:eastAsia="zh-CN"/>
              </w:rPr>
              <w:t>账实相符</w:t>
            </w:r>
            <w:r>
              <w:rPr>
                <w:rFonts w:hint="eastAsia" w:ascii="宋体" w:hAnsi="宋体" w:cs="宋体"/>
                <w:color w:val="000000"/>
                <w:sz w:val="21"/>
                <w:szCs w:val="21"/>
              </w:rPr>
              <w:t>计0.4分；</w:t>
            </w:r>
          </w:p>
          <w:p>
            <w:pPr>
              <w:pStyle w:val="8"/>
              <w:widowControl/>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⑤资产有偿使用及处置收入及时足额上缴计0.4分。</w:t>
            </w:r>
          </w:p>
        </w:tc>
        <w:tc>
          <w:tcPr>
            <w:tcW w:w="768" w:type="dxa"/>
            <w:tcBorders>
              <w:top w:val="nil"/>
              <w:left w:val="nil"/>
              <w:bottom w:val="single" w:color="auto" w:sz="8" w:space="0"/>
              <w:right w:val="single" w:color="auto" w:sz="8" w:space="0"/>
            </w:tcBorders>
            <w:vAlign w:val="center"/>
          </w:tcPr>
          <w:p>
            <w:pPr>
              <w:pStyle w:val="8"/>
              <w:widowControl/>
              <w:tabs>
                <w:tab w:val="left" w:pos="761"/>
                <w:tab w:val="left" w:pos="2604"/>
              </w:tabs>
              <w:spacing w:before="0" w:beforeAutospacing="0" w:after="0" w:afterAutospacing="0" w:line="600" w:lineRule="exact"/>
              <w:jc w:val="center"/>
            </w:pPr>
            <w:r>
              <w:rPr>
                <w:rFonts w:hint="eastAsia"/>
              </w:rPr>
              <w:t>2</w:t>
            </w:r>
          </w:p>
        </w:tc>
      </w:tr>
      <w:tr>
        <w:tblPrEx>
          <w:tblCellMar>
            <w:top w:w="0" w:type="dxa"/>
            <w:left w:w="0" w:type="dxa"/>
            <w:bottom w:w="0" w:type="dxa"/>
            <w:right w:w="0" w:type="dxa"/>
          </w:tblCellMar>
        </w:tblPrEx>
        <w:trPr>
          <w:trHeight w:val="105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固定资产</w:t>
            </w:r>
          </w:p>
          <w:p>
            <w:pPr>
              <w:pStyle w:val="8"/>
              <w:widowControl/>
              <w:spacing w:before="0" w:beforeAutospacing="0" w:after="0" w:afterAutospacing="0" w:line="600" w:lineRule="exact"/>
              <w:jc w:val="center"/>
              <w:rPr>
                <w:rFonts w:ascii="宋体" w:hAnsi="宋体" w:cs="宋体"/>
                <w:color w:val="000000"/>
                <w:sz w:val="21"/>
                <w:szCs w:val="21"/>
              </w:rPr>
            </w:pPr>
            <w:r>
              <w:rPr>
                <w:rFonts w:hint="eastAsia" w:ascii="宋体" w:hAnsi="宋体" w:cs="宋体"/>
                <w:color w:val="000000"/>
                <w:sz w:val="21"/>
                <w:szCs w:val="21"/>
              </w:rPr>
              <w:t>利用率</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（1分）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部门实际在用固定资产总额与所有固定资产总额的比率，用以反映和考核部门固定资产使用效率程度。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固定资产利用率=（实际在用固定资产总额/所有固定资产总额）×100%。利用率为100%的计1分，每降1个百分点扣0.1分，扣完为止。</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pPr>
            <w:r>
              <w:rPr>
                <w:rFonts w:hint="eastAsia"/>
              </w:rPr>
              <w:t>1</w:t>
            </w:r>
          </w:p>
        </w:tc>
      </w:tr>
      <w:tr>
        <w:tblPrEx>
          <w:tblCellMar>
            <w:top w:w="0" w:type="dxa"/>
            <w:left w:w="0" w:type="dxa"/>
            <w:bottom w:w="0" w:type="dxa"/>
            <w:right w:w="0" w:type="dxa"/>
          </w:tblCellMar>
        </w:tblPrEx>
        <w:trPr>
          <w:trHeight w:val="894" w:hRule="atLeast"/>
          <w:jc w:val="center"/>
        </w:trPr>
        <w:tc>
          <w:tcPr>
            <w:tcW w:w="690"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color w:val="000000"/>
                <w:sz w:val="21"/>
                <w:szCs w:val="21"/>
              </w:rPr>
            </w:pPr>
            <w:r>
              <w:rPr>
                <w:rFonts w:hint="eastAsia" w:ascii="宋体" w:hAnsi="宋体" w:cs="宋体"/>
                <w:color w:val="000000"/>
                <w:sz w:val="21"/>
                <w:szCs w:val="21"/>
              </w:rPr>
              <w:t>产出</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(20分)</w:t>
            </w: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eastAsia="宋体" w:cs="宋体"/>
                <w:color w:val="000000"/>
                <w:sz w:val="21"/>
                <w:szCs w:val="21"/>
                <w:lang w:eastAsia="zh-CN"/>
              </w:rPr>
            </w:pPr>
            <w:r>
              <w:rPr>
                <w:rFonts w:hint="eastAsia" w:ascii="宋体" w:hAnsi="宋体" w:cs="宋体"/>
                <w:color w:val="000000"/>
                <w:sz w:val="21"/>
                <w:szCs w:val="21"/>
              </w:rPr>
              <w:t>职责</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履行</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实际完成率（5分）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部门履行职责而实际完成工作数与计划工作数的比率，用以反映和考核部门履职工作任务目标的实现程度。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实际完成率得分=完成县委县政府绩效考核得分或上级主管部门考核指标得分/指标分值*5分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pPr>
            <w:r>
              <w:rPr>
                <w:rFonts w:hint="eastAsia"/>
              </w:rPr>
              <w:t>5</w:t>
            </w:r>
          </w:p>
        </w:tc>
      </w:tr>
      <w:tr>
        <w:tblPrEx>
          <w:tblCellMar>
            <w:top w:w="0" w:type="dxa"/>
            <w:left w:w="0" w:type="dxa"/>
            <w:bottom w:w="0" w:type="dxa"/>
            <w:right w:w="0" w:type="dxa"/>
          </w:tblCellMar>
        </w:tblPrEx>
        <w:trPr>
          <w:trHeight w:val="86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完成及时率（4分）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部门在规定时限内及时完成的实际工作数与计划工作数的比率,用以反映和考核部门履职时效目标的实现程度。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210" w:afterAutospacing="0" w:line="600" w:lineRule="exact"/>
              <w:jc w:val="both"/>
              <w:rPr>
                <w:rFonts w:ascii="宋体" w:hAnsi="宋体" w:cs="宋体"/>
                <w:sz w:val="21"/>
                <w:szCs w:val="21"/>
              </w:rPr>
            </w:pPr>
            <w:r>
              <w:rPr>
                <w:rFonts w:hint="eastAsia" w:ascii="宋体" w:hAnsi="宋体" w:cs="宋体"/>
                <w:color w:val="000000"/>
                <w:sz w:val="21"/>
                <w:szCs w:val="21"/>
              </w:rPr>
              <w:t>完成及时率=（及时完成实际工作数/计划工作数）×100%。1-4季度各得1分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pPr>
            <w:r>
              <w:rPr>
                <w:rFonts w:hint="eastAsia"/>
              </w:rPr>
              <w:t>4</w:t>
            </w:r>
          </w:p>
        </w:tc>
      </w:tr>
      <w:tr>
        <w:tblPrEx>
          <w:tblCellMar>
            <w:top w:w="0" w:type="dxa"/>
            <w:left w:w="0" w:type="dxa"/>
            <w:bottom w:w="0" w:type="dxa"/>
            <w:right w:w="0" w:type="dxa"/>
          </w:tblCellMar>
        </w:tblPrEx>
        <w:trPr>
          <w:trHeight w:val="80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质量达标率（5分）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达到质量标准（绩效标准值）的实际工作数与计划工作数的比率,用以反映和考核部门履职质量目标的实现程度。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质量达标率=（质量达标实际工作数/计划工作数）×100%。实际得分=达标率*5分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pPr>
            <w:r>
              <w:rPr>
                <w:rFonts w:hint="eastAsia"/>
              </w:rPr>
              <w:t>5</w:t>
            </w:r>
          </w:p>
        </w:tc>
      </w:tr>
      <w:tr>
        <w:tblPrEx>
          <w:tblCellMar>
            <w:top w:w="0" w:type="dxa"/>
            <w:left w:w="0" w:type="dxa"/>
            <w:bottom w:w="0" w:type="dxa"/>
            <w:right w:w="0" w:type="dxa"/>
          </w:tblCellMar>
        </w:tblPrEx>
        <w:trPr>
          <w:trHeight w:val="105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重点工作</w:t>
            </w:r>
          </w:p>
          <w:p>
            <w:pPr>
              <w:pStyle w:val="8"/>
              <w:widowControl/>
              <w:spacing w:before="0" w:beforeAutospacing="0" w:after="0" w:afterAutospacing="0" w:line="600" w:lineRule="exact"/>
              <w:jc w:val="center"/>
              <w:rPr>
                <w:rFonts w:ascii="宋体" w:hAnsi="宋体" w:cs="宋体"/>
                <w:color w:val="000000"/>
                <w:sz w:val="21"/>
                <w:szCs w:val="21"/>
              </w:rPr>
            </w:pPr>
            <w:r>
              <w:rPr>
                <w:rFonts w:hint="eastAsia" w:ascii="宋体" w:hAnsi="宋体" w:cs="宋体"/>
                <w:color w:val="000000"/>
                <w:sz w:val="21"/>
                <w:szCs w:val="21"/>
              </w:rPr>
              <w:t>办结率</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（6分）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部门年度重点工作实际完成数与交办或下达数的比率，用以反映部门对重点工作的办理落实程度。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重点工作办结率=（重点工作实际完成数/交办或下达数）×100%。实际得分=办结率*6分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pPr>
            <w:r>
              <w:rPr>
                <w:rFonts w:hint="eastAsia"/>
              </w:rPr>
              <w:t>6</w:t>
            </w:r>
          </w:p>
        </w:tc>
      </w:tr>
      <w:tr>
        <w:tblPrEx>
          <w:tblCellMar>
            <w:top w:w="0" w:type="dxa"/>
            <w:left w:w="0" w:type="dxa"/>
            <w:bottom w:w="0" w:type="dxa"/>
            <w:right w:w="0" w:type="dxa"/>
          </w:tblCellMar>
        </w:tblPrEx>
        <w:trPr>
          <w:trHeight w:val="644" w:hRule="atLeast"/>
          <w:jc w:val="center"/>
        </w:trPr>
        <w:tc>
          <w:tcPr>
            <w:tcW w:w="690"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color w:val="000000"/>
                <w:sz w:val="21"/>
                <w:szCs w:val="21"/>
              </w:rPr>
            </w:pPr>
            <w:r>
              <w:rPr>
                <w:rFonts w:hint="eastAsia" w:ascii="宋体" w:hAnsi="宋体" w:cs="宋体"/>
                <w:color w:val="000000"/>
                <w:sz w:val="21"/>
                <w:szCs w:val="21"/>
              </w:rPr>
              <w:t>效果</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(20分)</w:t>
            </w: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hint="eastAsia" w:ascii="宋体" w:hAnsi="宋体" w:eastAsia="宋体" w:cs="宋体"/>
                <w:color w:val="000000"/>
                <w:sz w:val="21"/>
                <w:szCs w:val="21"/>
                <w:lang w:eastAsia="zh-CN"/>
              </w:rPr>
            </w:pPr>
            <w:r>
              <w:rPr>
                <w:rFonts w:hint="eastAsia" w:ascii="宋体" w:hAnsi="宋体" w:cs="宋体"/>
                <w:color w:val="000000"/>
                <w:sz w:val="21"/>
                <w:szCs w:val="21"/>
              </w:rPr>
              <w:t>履职</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效益(20分)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经济效益（5分）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部门履行职责对经济发展所带来的直接或间接影响。</w:t>
            </w:r>
          </w:p>
        </w:tc>
        <w:tc>
          <w:tcPr>
            <w:tcW w:w="5825" w:type="dxa"/>
            <w:tcBorders>
              <w:top w:val="nil"/>
              <w:left w:val="nil"/>
              <w:bottom w:val="single" w:color="auto" w:sz="4"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按经济效益实现程度计算得分（5分）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pPr>
            <w:r>
              <w:rPr>
                <w:rFonts w:hint="eastAsia"/>
              </w:rPr>
              <w:t>5</w:t>
            </w:r>
          </w:p>
        </w:tc>
      </w:tr>
      <w:tr>
        <w:tblPrEx>
          <w:tblCellMar>
            <w:top w:w="0" w:type="dxa"/>
            <w:left w:w="0" w:type="dxa"/>
            <w:bottom w:w="0" w:type="dxa"/>
            <w:right w:w="0" w:type="dxa"/>
          </w:tblCellMar>
        </w:tblPrEx>
        <w:trPr>
          <w:trHeight w:val="64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社会效益（5分）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部门履行职责对社会发展所带来的直接或间接影响。</w:t>
            </w:r>
          </w:p>
        </w:tc>
        <w:tc>
          <w:tcPr>
            <w:tcW w:w="5825" w:type="dxa"/>
            <w:tcBorders>
              <w:top w:val="single" w:color="auto" w:sz="4" w:space="0"/>
              <w:left w:val="nil"/>
              <w:bottom w:val="single" w:color="auto" w:sz="4" w:space="0"/>
              <w:right w:val="single" w:color="auto" w:sz="8" w:space="0"/>
            </w:tcBorders>
            <w:tcMar>
              <w:top w:w="10" w:type="dxa"/>
              <w:left w:w="10" w:type="dxa"/>
              <w:right w:w="10" w:type="dxa"/>
            </w:tcMar>
            <w:vAlign w:val="center"/>
          </w:tcPr>
          <w:p>
            <w:pPr>
              <w:spacing w:line="600" w:lineRule="exact"/>
              <w:ind w:left="315" w:hanging="315"/>
              <w:rPr>
                <w:rFonts w:ascii="宋体" w:hAnsi="宋体" w:cs="宋体"/>
                <w:color w:val="000000"/>
                <w:sz w:val="15"/>
                <w:szCs w:val="15"/>
              </w:rPr>
            </w:pPr>
            <w:r>
              <w:rPr>
                <w:rFonts w:hint="eastAsia" w:ascii="宋体" w:hAnsi="宋体" w:cs="宋体"/>
                <w:color w:val="000000"/>
                <w:szCs w:val="21"/>
              </w:rPr>
              <w:t>按社会效益实现程度计算得分（5分）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pPr>
            <w:r>
              <w:rPr>
                <w:rFonts w:hint="eastAsia"/>
              </w:rPr>
              <w:t>5</w:t>
            </w:r>
          </w:p>
        </w:tc>
      </w:tr>
      <w:tr>
        <w:tblPrEx>
          <w:tblCellMar>
            <w:top w:w="0" w:type="dxa"/>
            <w:left w:w="0" w:type="dxa"/>
            <w:bottom w:w="0" w:type="dxa"/>
            <w:right w:w="0" w:type="dxa"/>
          </w:tblCellMar>
        </w:tblPrEx>
        <w:trPr>
          <w:trHeight w:val="64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315" w:hanging="315"/>
              <w:jc w:val="center"/>
              <w:rPr>
                <w:rFonts w:ascii="宋体" w:hAnsi="宋体" w:cs="宋体"/>
                <w:color w:val="000000"/>
                <w:kern w:val="0"/>
                <w:szCs w:val="21"/>
              </w:rPr>
            </w:pPr>
            <w:r>
              <w:rPr>
                <w:rFonts w:hint="eastAsia" w:ascii="宋体" w:hAnsi="宋体" w:cs="宋体"/>
                <w:color w:val="000000"/>
                <w:kern w:val="0"/>
                <w:szCs w:val="21"/>
              </w:rPr>
              <w:t>生态效益</w:t>
            </w:r>
          </w:p>
          <w:p>
            <w:pPr>
              <w:spacing w:line="600" w:lineRule="exact"/>
              <w:ind w:left="315" w:hanging="315"/>
              <w:jc w:val="center"/>
              <w:rPr>
                <w:rFonts w:ascii="宋体" w:hAnsi="宋体" w:cs="宋体"/>
                <w:color w:val="000000"/>
                <w:kern w:val="0"/>
                <w:szCs w:val="21"/>
              </w:rPr>
            </w:pPr>
            <w:r>
              <w:rPr>
                <w:rFonts w:hint="eastAsia" w:ascii="宋体" w:hAnsi="宋体" w:cs="宋体"/>
                <w:color w:val="000000"/>
                <w:kern w:val="0"/>
                <w:szCs w:val="21"/>
              </w:rPr>
              <w:t>（5分）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color w:val="000000"/>
                <w:sz w:val="21"/>
                <w:szCs w:val="21"/>
              </w:rPr>
            </w:pPr>
            <w:r>
              <w:rPr>
                <w:rFonts w:hint="eastAsia" w:ascii="宋体" w:hAnsi="宋体" w:cs="宋体"/>
                <w:color w:val="000000"/>
                <w:sz w:val="21"/>
                <w:szCs w:val="21"/>
              </w:rPr>
              <w:t>部门履行职责对生态环境所带来的直接或间接影响。</w:t>
            </w:r>
          </w:p>
        </w:tc>
        <w:tc>
          <w:tcPr>
            <w:tcW w:w="5825"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color w:val="000000"/>
                <w:sz w:val="21"/>
                <w:szCs w:val="21"/>
              </w:rPr>
            </w:pPr>
            <w:r>
              <w:rPr>
                <w:rFonts w:hint="eastAsia" w:ascii="宋体" w:hAnsi="宋体" w:cs="宋体"/>
                <w:color w:val="000000"/>
                <w:sz w:val="21"/>
                <w:szCs w:val="21"/>
              </w:rPr>
              <w:t>对生态环境影响较好的计5分；一般3分；效果不明显0分。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pPr>
            <w:r>
              <w:rPr>
                <w:rFonts w:hint="eastAsia"/>
              </w:rPr>
              <w:t>5</w:t>
            </w:r>
          </w:p>
        </w:tc>
      </w:tr>
      <w:tr>
        <w:tblPrEx>
          <w:tblCellMar>
            <w:top w:w="0" w:type="dxa"/>
            <w:left w:w="0" w:type="dxa"/>
            <w:bottom w:w="0" w:type="dxa"/>
            <w:right w:w="0" w:type="dxa"/>
          </w:tblCellMar>
        </w:tblPrEx>
        <w:trPr>
          <w:trHeight w:val="125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社会公众</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或服务对</w:t>
            </w:r>
          </w:p>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象满意度（5分）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社会公众或部门的服务对象对部门履职效果的满意程度。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ascii="宋体" w:hAnsi="宋体" w:cs="宋体"/>
                <w:sz w:val="21"/>
                <w:szCs w:val="21"/>
              </w:rPr>
            </w:pPr>
            <w:r>
              <w:rPr>
                <w:rFonts w:hint="eastAsia" w:ascii="宋体" w:hAnsi="宋体"/>
                <w:sz w:val="18"/>
                <w:szCs w:val="18"/>
              </w:rPr>
              <w:t>90%</w:t>
            </w:r>
            <w:r>
              <w:rPr>
                <w:rFonts w:hint="eastAsia" w:ascii="宋体" w:hAnsi="宋体" w:cs="宋体"/>
                <w:color w:val="000000"/>
                <w:sz w:val="21"/>
                <w:szCs w:val="21"/>
              </w:rPr>
              <w:t>（含）以上计5分；80%（含）-90%，计4分；70%（含）-80%，计3分；60%（含）-70%，计2分；低于60%计0分。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pPr>
            <w:r>
              <w:rPr>
                <w:rFonts w:hint="eastAsia"/>
              </w:rPr>
              <w:t>5</w:t>
            </w:r>
          </w:p>
        </w:tc>
      </w:tr>
      <w:tr>
        <w:tblPrEx>
          <w:tblCellMar>
            <w:top w:w="0" w:type="dxa"/>
            <w:left w:w="0" w:type="dxa"/>
            <w:bottom w:w="0" w:type="dxa"/>
            <w:right w:w="0" w:type="dxa"/>
          </w:tblCellMar>
        </w:tblPrEx>
        <w:trPr>
          <w:trHeight w:val="608" w:hRule="atLeast"/>
          <w:jc w:val="center"/>
        </w:trPr>
        <w:tc>
          <w:tcPr>
            <w:tcW w:w="690" w:type="dxa"/>
            <w:tcBorders>
              <w:top w:val="nil"/>
              <w:left w:val="single" w:color="auto" w:sz="8" w:space="0"/>
              <w:bottom w:val="nil"/>
              <w:right w:val="single" w:color="auto" w:sz="8" w:space="0"/>
            </w:tcBorders>
            <w:vAlign w:val="center"/>
          </w:tcPr>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总分</w:t>
            </w:r>
          </w:p>
        </w:tc>
        <w:tc>
          <w:tcPr>
            <w:tcW w:w="704" w:type="dxa"/>
            <w:tcBorders>
              <w:top w:val="nil"/>
              <w:left w:val="nil"/>
              <w:bottom w:val="nil"/>
              <w:right w:val="single" w:color="auto" w:sz="8" w:space="0"/>
            </w:tcBorders>
            <w:vAlign w:val="center"/>
          </w:tcPr>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100</w:t>
            </w:r>
          </w:p>
        </w:tc>
        <w:tc>
          <w:tcPr>
            <w:tcW w:w="960" w:type="dxa"/>
            <w:tcBorders>
              <w:top w:val="nil"/>
              <w:left w:val="nil"/>
              <w:bottom w:val="nil"/>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sz w:val="21"/>
                <w:szCs w:val="21"/>
              </w:rPr>
            </w:pPr>
            <w:r>
              <w:rPr>
                <w:rFonts w:hint="eastAsia" w:ascii="宋体" w:hAnsi="宋体" w:cs="宋体"/>
                <w:color w:val="000000"/>
                <w:sz w:val="21"/>
                <w:szCs w:val="21"/>
              </w:rPr>
              <w:t>100　</w:t>
            </w:r>
          </w:p>
        </w:tc>
        <w:tc>
          <w:tcPr>
            <w:tcW w:w="5340" w:type="dxa"/>
            <w:tcBorders>
              <w:top w:val="nil"/>
              <w:left w:val="nil"/>
              <w:bottom w:val="nil"/>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 </w:t>
            </w:r>
          </w:p>
        </w:tc>
        <w:tc>
          <w:tcPr>
            <w:tcW w:w="5825" w:type="dxa"/>
            <w:tcBorders>
              <w:top w:val="nil"/>
              <w:left w:val="nil"/>
              <w:bottom w:val="nil"/>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ascii="宋体" w:hAnsi="宋体" w:cs="宋体"/>
                <w:sz w:val="21"/>
                <w:szCs w:val="21"/>
              </w:rPr>
            </w:pPr>
            <w:r>
              <w:rPr>
                <w:rFonts w:hint="eastAsia" w:ascii="宋体" w:hAnsi="宋体" w:cs="宋体"/>
                <w:color w:val="000000"/>
                <w:sz w:val="21"/>
                <w:szCs w:val="21"/>
              </w:rPr>
              <w:t> </w:t>
            </w:r>
          </w:p>
        </w:tc>
        <w:tc>
          <w:tcPr>
            <w:tcW w:w="768" w:type="dxa"/>
            <w:tcBorders>
              <w:top w:val="nil"/>
              <w:left w:val="nil"/>
              <w:bottom w:val="nil"/>
              <w:right w:val="single" w:color="auto" w:sz="8" w:space="0"/>
            </w:tcBorders>
            <w:vAlign w:val="center"/>
          </w:tcPr>
          <w:p>
            <w:pPr>
              <w:pStyle w:val="8"/>
              <w:widowControl/>
              <w:tabs>
                <w:tab w:val="left" w:pos="2604"/>
              </w:tabs>
              <w:spacing w:before="0" w:beforeAutospacing="0" w:after="0" w:afterAutospacing="0" w:line="600" w:lineRule="exact"/>
              <w:jc w:val="center"/>
            </w:pPr>
            <w:r>
              <w:rPr>
                <w:rFonts w:hint="eastAsia"/>
              </w:rPr>
              <w:t>97</w:t>
            </w:r>
          </w:p>
        </w:tc>
      </w:tr>
      <w:tr>
        <w:tblPrEx>
          <w:tblCellMar>
            <w:top w:w="0" w:type="dxa"/>
            <w:left w:w="0" w:type="dxa"/>
            <w:bottom w:w="0" w:type="dxa"/>
            <w:right w:w="0" w:type="dxa"/>
          </w:tblCellMar>
        </w:tblPrEx>
        <w:trPr>
          <w:trHeight w:val="608" w:hRule="atLeast"/>
          <w:jc w:val="center"/>
        </w:trPr>
        <w:tc>
          <w:tcPr>
            <w:tcW w:w="690" w:type="dxa"/>
            <w:tcBorders>
              <w:top w:val="nil"/>
              <w:left w:val="single" w:color="auto" w:sz="8" w:space="0"/>
              <w:bottom w:val="single" w:color="auto" w:sz="8" w:space="0"/>
              <w:right w:val="single" w:color="auto" w:sz="8" w:space="0"/>
            </w:tcBorders>
            <w:vAlign w:val="center"/>
          </w:tcPr>
          <w:p>
            <w:pPr>
              <w:pStyle w:val="8"/>
              <w:widowControl/>
              <w:spacing w:before="0" w:beforeAutospacing="0" w:after="0" w:afterAutospacing="0" w:line="600" w:lineRule="exact"/>
              <w:rPr>
                <w:rFonts w:ascii="宋体" w:hAnsi="宋体" w:cs="宋体"/>
                <w:color w:val="000000"/>
                <w:sz w:val="21"/>
                <w:szCs w:val="21"/>
              </w:rPr>
            </w:pPr>
          </w:p>
        </w:tc>
        <w:tc>
          <w:tcPr>
            <w:tcW w:w="704" w:type="dxa"/>
            <w:tcBorders>
              <w:top w:val="nil"/>
              <w:left w:val="nil"/>
              <w:bottom w:val="single" w:color="auto" w:sz="8" w:space="0"/>
              <w:right w:val="single" w:color="auto" w:sz="8" w:space="0"/>
            </w:tcBorders>
            <w:vAlign w:val="center"/>
          </w:tcPr>
          <w:p>
            <w:pPr>
              <w:pStyle w:val="8"/>
              <w:widowControl/>
              <w:spacing w:before="0" w:beforeAutospacing="0" w:after="0" w:afterAutospacing="0" w:line="600" w:lineRule="exact"/>
              <w:jc w:val="center"/>
              <w:rPr>
                <w:rFonts w:ascii="宋体" w:hAnsi="宋体" w:cs="宋体"/>
                <w:color w:val="000000"/>
                <w:sz w:val="21"/>
                <w:szCs w:val="21"/>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center"/>
              <w:rPr>
                <w:rFonts w:ascii="宋体" w:hAnsi="宋体" w:cs="宋体"/>
                <w:color w:val="000000"/>
                <w:sz w:val="21"/>
                <w:szCs w:val="21"/>
              </w:rPr>
            </w:pP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0" w:beforeAutospacing="0" w:after="0" w:afterAutospacing="0" w:line="600" w:lineRule="exact"/>
              <w:jc w:val="both"/>
              <w:rPr>
                <w:rFonts w:ascii="宋体" w:hAnsi="宋体" w:cs="宋体"/>
                <w:color w:val="000000"/>
                <w:sz w:val="21"/>
                <w:szCs w:val="21"/>
              </w:rPr>
            </w:pP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0" w:beforeAutospacing="0" w:after="0" w:afterAutospacing="0" w:line="600" w:lineRule="exact"/>
              <w:jc w:val="both"/>
              <w:rPr>
                <w:rFonts w:ascii="宋体" w:hAnsi="宋体" w:cs="宋体"/>
                <w:color w:val="000000"/>
                <w:sz w:val="21"/>
                <w:szCs w:val="21"/>
              </w:rPr>
            </w:pP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0" w:beforeAutospacing="0" w:after="0" w:afterAutospacing="0" w:line="600" w:lineRule="exact"/>
              <w:jc w:val="center"/>
            </w:pPr>
          </w:p>
        </w:tc>
      </w:tr>
    </w:tbl>
    <w:p>
      <w:pPr>
        <w:ind w:firstLine="640" w:firstLineChars="200"/>
        <w:jc w:val="left"/>
        <w:rPr>
          <w:rFonts w:cs="黑体" w:asciiTheme="minorEastAsia" w:hAnsiTheme="minorEastAsia"/>
          <w:color w:val="000000"/>
          <w:kern w:val="0"/>
          <w:sz w:val="32"/>
          <w:szCs w:val="32"/>
        </w:rPr>
      </w:pPr>
    </w:p>
    <w:sectPr>
      <w:pgSz w:w="16838" w:h="11906" w:orient="landscape"/>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_GBK">
    <w:altName w:val="Times New Roman"/>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70" w:hanging="270"/>
      <w:jc w:val="center"/>
    </w:pPr>
    <w:r>
      <w:fldChar w:fldCharType="begin"/>
    </w:r>
    <w:r>
      <w:instrText xml:space="preserve"> PAGE   \* MERGEFORMAT </w:instrText>
    </w:r>
    <w:r>
      <w:fldChar w:fldCharType="separate"/>
    </w:r>
    <w:r>
      <w:rPr>
        <w:lang w:val="zh-CN"/>
      </w:rPr>
      <w:t>1</w:t>
    </w:r>
    <w:r>
      <w:rPr>
        <w:lang w:val="zh-CN"/>
      </w:rPr>
      <w:fldChar w:fldCharType="end"/>
    </w:r>
  </w:p>
  <w:p>
    <w:pPr>
      <w:pStyle w:val="6"/>
      <w:ind w:left="270" w:hanging="27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70" w:hanging="27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70" w:hanging="27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left="270" w:hanging="2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270" w:hanging="2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270" w:hanging="2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JmNjRjZGViZWVhMzdmNzhlYmU5MTM3MGM4YjYwNWMifQ=="/>
  </w:docVars>
  <w:rsids>
    <w:rsidRoot w:val="004506F9"/>
    <w:rsid w:val="0002229B"/>
    <w:rsid w:val="000273BD"/>
    <w:rsid w:val="000415B7"/>
    <w:rsid w:val="00041E3F"/>
    <w:rsid w:val="00055DAA"/>
    <w:rsid w:val="00061F7B"/>
    <w:rsid w:val="000658A3"/>
    <w:rsid w:val="00074155"/>
    <w:rsid w:val="000A3F69"/>
    <w:rsid w:val="000F41E7"/>
    <w:rsid w:val="00103957"/>
    <w:rsid w:val="00152C6D"/>
    <w:rsid w:val="00162D39"/>
    <w:rsid w:val="00166E65"/>
    <w:rsid w:val="001678BD"/>
    <w:rsid w:val="00183C7B"/>
    <w:rsid w:val="001A67DB"/>
    <w:rsid w:val="001B7100"/>
    <w:rsid w:val="001C3C29"/>
    <w:rsid w:val="001D51E5"/>
    <w:rsid w:val="001E080D"/>
    <w:rsid w:val="001E53D0"/>
    <w:rsid w:val="001F0C3B"/>
    <w:rsid w:val="00202C82"/>
    <w:rsid w:val="00212C6E"/>
    <w:rsid w:val="00214427"/>
    <w:rsid w:val="00226CB7"/>
    <w:rsid w:val="00264552"/>
    <w:rsid w:val="00264EF9"/>
    <w:rsid w:val="00265724"/>
    <w:rsid w:val="0027426B"/>
    <w:rsid w:val="00282069"/>
    <w:rsid w:val="002E0A30"/>
    <w:rsid w:val="003130C4"/>
    <w:rsid w:val="00316C4B"/>
    <w:rsid w:val="0032192B"/>
    <w:rsid w:val="00345569"/>
    <w:rsid w:val="003479BD"/>
    <w:rsid w:val="0037197D"/>
    <w:rsid w:val="00372EFE"/>
    <w:rsid w:val="003768D5"/>
    <w:rsid w:val="003C47E6"/>
    <w:rsid w:val="003C4FC2"/>
    <w:rsid w:val="00416E61"/>
    <w:rsid w:val="0042790C"/>
    <w:rsid w:val="004506F9"/>
    <w:rsid w:val="004717A2"/>
    <w:rsid w:val="00473DF3"/>
    <w:rsid w:val="00475FB2"/>
    <w:rsid w:val="00487911"/>
    <w:rsid w:val="00491741"/>
    <w:rsid w:val="00500E5F"/>
    <w:rsid w:val="005122EF"/>
    <w:rsid w:val="0051441A"/>
    <w:rsid w:val="00517C33"/>
    <w:rsid w:val="00523644"/>
    <w:rsid w:val="0054069E"/>
    <w:rsid w:val="00544866"/>
    <w:rsid w:val="00565E79"/>
    <w:rsid w:val="00574383"/>
    <w:rsid w:val="005767CC"/>
    <w:rsid w:val="00590D9F"/>
    <w:rsid w:val="00595D26"/>
    <w:rsid w:val="005A189E"/>
    <w:rsid w:val="005A74E6"/>
    <w:rsid w:val="005B404E"/>
    <w:rsid w:val="005D4D55"/>
    <w:rsid w:val="005E2CFB"/>
    <w:rsid w:val="005F3D1C"/>
    <w:rsid w:val="00604C38"/>
    <w:rsid w:val="0062378F"/>
    <w:rsid w:val="00641842"/>
    <w:rsid w:val="00651EEC"/>
    <w:rsid w:val="00691E8C"/>
    <w:rsid w:val="006A22C4"/>
    <w:rsid w:val="006A351B"/>
    <w:rsid w:val="006B0422"/>
    <w:rsid w:val="006C1B53"/>
    <w:rsid w:val="006D7730"/>
    <w:rsid w:val="006E5284"/>
    <w:rsid w:val="006F3EB5"/>
    <w:rsid w:val="00702E34"/>
    <w:rsid w:val="00704395"/>
    <w:rsid w:val="00711853"/>
    <w:rsid w:val="00717621"/>
    <w:rsid w:val="00720FF1"/>
    <w:rsid w:val="00727A53"/>
    <w:rsid w:val="007654A0"/>
    <w:rsid w:val="00787B42"/>
    <w:rsid w:val="007C4539"/>
    <w:rsid w:val="007F3657"/>
    <w:rsid w:val="00812ED5"/>
    <w:rsid w:val="008277D9"/>
    <w:rsid w:val="0084478C"/>
    <w:rsid w:val="0086638C"/>
    <w:rsid w:val="00877EDA"/>
    <w:rsid w:val="008A3E8D"/>
    <w:rsid w:val="008B38AF"/>
    <w:rsid w:val="008F1936"/>
    <w:rsid w:val="008F2F27"/>
    <w:rsid w:val="009237C4"/>
    <w:rsid w:val="00944C48"/>
    <w:rsid w:val="00950252"/>
    <w:rsid w:val="00967F5D"/>
    <w:rsid w:val="009A0F95"/>
    <w:rsid w:val="009B3ADF"/>
    <w:rsid w:val="009C3B52"/>
    <w:rsid w:val="009D3B7F"/>
    <w:rsid w:val="009E6817"/>
    <w:rsid w:val="009E6E9A"/>
    <w:rsid w:val="00A01D2B"/>
    <w:rsid w:val="00A42218"/>
    <w:rsid w:val="00A70249"/>
    <w:rsid w:val="00A70B02"/>
    <w:rsid w:val="00A71D9F"/>
    <w:rsid w:val="00A915C2"/>
    <w:rsid w:val="00A92E9F"/>
    <w:rsid w:val="00AB2423"/>
    <w:rsid w:val="00AF274A"/>
    <w:rsid w:val="00B33BEA"/>
    <w:rsid w:val="00B368BC"/>
    <w:rsid w:val="00B51C7E"/>
    <w:rsid w:val="00B57C9F"/>
    <w:rsid w:val="00B63572"/>
    <w:rsid w:val="00B845B3"/>
    <w:rsid w:val="00B85D8B"/>
    <w:rsid w:val="00BB39C8"/>
    <w:rsid w:val="00BB4A40"/>
    <w:rsid w:val="00BD6C3E"/>
    <w:rsid w:val="00BE0EDC"/>
    <w:rsid w:val="00BE3674"/>
    <w:rsid w:val="00C10681"/>
    <w:rsid w:val="00C3049A"/>
    <w:rsid w:val="00C31B1E"/>
    <w:rsid w:val="00C361DF"/>
    <w:rsid w:val="00C526C0"/>
    <w:rsid w:val="00C77645"/>
    <w:rsid w:val="00CE04C3"/>
    <w:rsid w:val="00CE76A0"/>
    <w:rsid w:val="00CF37F9"/>
    <w:rsid w:val="00CF39E2"/>
    <w:rsid w:val="00D1304C"/>
    <w:rsid w:val="00D148C6"/>
    <w:rsid w:val="00D17A8A"/>
    <w:rsid w:val="00D415BA"/>
    <w:rsid w:val="00D644EE"/>
    <w:rsid w:val="00DB6006"/>
    <w:rsid w:val="00DD06FF"/>
    <w:rsid w:val="00DD5FE9"/>
    <w:rsid w:val="00E00C7A"/>
    <w:rsid w:val="00E37D6C"/>
    <w:rsid w:val="00E55B68"/>
    <w:rsid w:val="00E64877"/>
    <w:rsid w:val="00E67BE6"/>
    <w:rsid w:val="00E8683C"/>
    <w:rsid w:val="00EA2B72"/>
    <w:rsid w:val="00ED10F3"/>
    <w:rsid w:val="00F03910"/>
    <w:rsid w:val="00F74360"/>
    <w:rsid w:val="00FB462F"/>
    <w:rsid w:val="00FE16FA"/>
    <w:rsid w:val="00FE328A"/>
    <w:rsid w:val="00FE6269"/>
    <w:rsid w:val="00FF039D"/>
    <w:rsid w:val="042D3BDC"/>
    <w:rsid w:val="04F12C34"/>
    <w:rsid w:val="056C5A14"/>
    <w:rsid w:val="076A0AD1"/>
    <w:rsid w:val="0A173ABF"/>
    <w:rsid w:val="0A2569E3"/>
    <w:rsid w:val="0CB9326F"/>
    <w:rsid w:val="0CD65951"/>
    <w:rsid w:val="0DEA3176"/>
    <w:rsid w:val="10277C16"/>
    <w:rsid w:val="10CC42DB"/>
    <w:rsid w:val="1408791E"/>
    <w:rsid w:val="14655A46"/>
    <w:rsid w:val="160F6EB9"/>
    <w:rsid w:val="1CD41F3E"/>
    <w:rsid w:val="1DAC7DF7"/>
    <w:rsid w:val="20DB652D"/>
    <w:rsid w:val="26FD2944"/>
    <w:rsid w:val="27546E95"/>
    <w:rsid w:val="2ABF474E"/>
    <w:rsid w:val="2AD9589C"/>
    <w:rsid w:val="2AE569B2"/>
    <w:rsid w:val="2BE04A64"/>
    <w:rsid w:val="366431B9"/>
    <w:rsid w:val="36725A6E"/>
    <w:rsid w:val="375F0D99"/>
    <w:rsid w:val="3BEA7EBA"/>
    <w:rsid w:val="3C00536F"/>
    <w:rsid w:val="3DFE0C6E"/>
    <w:rsid w:val="40246E0D"/>
    <w:rsid w:val="4244648E"/>
    <w:rsid w:val="43790DC7"/>
    <w:rsid w:val="4423583D"/>
    <w:rsid w:val="45996448"/>
    <w:rsid w:val="46C33282"/>
    <w:rsid w:val="46CC26BA"/>
    <w:rsid w:val="48A55C3B"/>
    <w:rsid w:val="48D13D0E"/>
    <w:rsid w:val="4B9E6DBC"/>
    <w:rsid w:val="4E706D95"/>
    <w:rsid w:val="4F921136"/>
    <w:rsid w:val="4FD7247B"/>
    <w:rsid w:val="57D574C2"/>
    <w:rsid w:val="599E58E3"/>
    <w:rsid w:val="5B9C32C5"/>
    <w:rsid w:val="5D13631D"/>
    <w:rsid w:val="5DEE148B"/>
    <w:rsid w:val="5E315A5D"/>
    <w:rsid w:val="5FB40E72"/>
    <w:rsid w:val="60475F62"/>
    <w:rsid w:val="62A21F8C"/>
    <w:rsid w:val="64A83290"/>
    <w:rsid w:val="667448DE"/>
    <w:rsid w:val="67AE1C31"/>
    <w:rsid w:val="6B225E85"/>
    <w:rsid w:val="6DFE6DA0"/>
    <w:rsid w:val="6E823D03"/>
    <w:rsid w:val="76E842E9"/>
    <w:rsid w:val="77662F94"/>
    <w:rsid w:val="78EB0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paragraph" w:styleId="3">
    <w:name w:val="heading 2"/>
    <w:basedOn w:val="1"/>
    <w:next w:val="1"/>
    <w:link w:val="17"/>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paragraph" w:styleId="4">
    <w:name w:val="heading 3"/>
    <w:basedOn w:val="1"/>
    <w:next w:val="1"/>
    <w:link w:val="18"/>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5"/>
    <w:semiHidden/>
    <w:unhideWhenUsed/>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spacing w:before="100" w:beforeAutospacing="1" w:after="100" w:afterAutospacing="1"/>
      <w:jc w:val="left"/>
    </w:pPr>
    <w:rPr>
      <w:rFonts w:ascii="Times New Roman" w:hAnsi="Times New Roman" w:eastAsia="宋体" w:cs="Times New Roman"/>
      <w:kern w:val="0"/>
      <w:sz w:val="24"/>
      <w:szCs w:val="24"/>
    </w:rPr>
  </w:style>
  <w:style w:type="character" w:customStyle="1" w:styleId="11">
    <w:name w:val="页眉 Char"/>
    <w:basedOn w:val="10"/>
    <w:link w:val="7"/>
    <w:qFormat/>
    <w:uiPriority w:val="99"/>
    <w:rPr>
      <w:sz w:val="18"/>
      <w:szCs w:val="18"/>
    </w:rPr>
  </w:style>
  <w:style w:type="character" w:customStyle="1" w:styleId="12">
    <w:name w:val="页脚 Char"/>
    <w:basedOn w:val="10"/>
    <w:link w:val="6"/>
    <w:uiPriority w:val="99"/>
    <w:rPr>
      <w:sz w:val="18"/>
      <w:szCs w:val="18"/>
    </w:rPr>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4">
    <w:name w:val="List Paragraph"/>
    <w:basedOn w:val="1"/>
    <w:qFormat/>
    <w:uiPriority w:val="34"/>
    <w:pPr>
      <w:ind w:firstLine="420" w:firstLineChars="200"/>
    </w:pPr>
  </w:style>
  <w:style w:type="character" w:customStyle="1" w:styleId="15">
    <w:name w:val="批注框文本 Char"/>
    <w:basedOn w:val="10"/>
    <w:link w:val="5"/>
    <w:semiHidden/>
    <w:uiPriority w:val="99"/>
    <w:rPr>
      <w:sz w:val="18"/>
      <w:szCs w:val="18"/>
    </w:rPr>
  </w:style>
  <w:style w:type="character" w:customStyle="1" w:styleId="16">
    <w:name w:val="标题 1 Char"/>
    <w:basedOn w:val="10"/>
    <w:link w:val="2"/>
    <w:qFormat/>
    <w:uiPriority w:val="0"/>
    <w:rPr>
      <w:rFonts w:ascii="宋体" w:hAnsi="宋体" w:eastAsia="宋体" w:cs="Times New Roman"/>
      <w:b/>
      <w:kern w:val="44"/>
      <w:sz w:val="48"/>
      <w:szCs w:val="48"/>
    </w:rPr>
  </w:style>
  <w:style w:type="character" w:customStyle="1" w:styleId="17">
    <w:name w:val="标题 2 Char"/>
    <w:basedOn w:val="10"/>
    <w:link w:val="3"/>
    <w:qFormat/>
    <w:uiPriority w:val="0"/>
    <w:rPr>
      <w:rFonts w:ascii="宋体" w:hAnsi="宋体" w:eastAsia="宋体" w:cs="Times New Roman"/>
      <w:b/>
      <w:sz w:val="36"/>
      <w:szCs w:val="36"/>
    </w:rPr>
  </w:style>
  <w:style w:type="character" w:customStyle="1" w:styleId="18">
    <w:name w:val="标题 3 Char"/>
    <w:basedOn w:val="10"/>
    <w:link w:val="4"/>
    <w:uiPriority w:val="0"/>
    <w:rPr>
      <w:rFonts w:ascii="宋体" w:hAnsi="宋体" w:eastAsia="宋体" w:cs="Times New Roman"/>
      <w:b/>
      <w:sz w:val="27"/>
      <w:szCs w:val="27"/>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839CF-861E-4968-9D0E-3441C6A352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6933</Words>
  <Characters>7685</Characters>
  <Lines>95</Lines>
  <Paragraphs>192</Paragraphs>
  <TotalTime>2</TotalTime>
  <ScaleCrop>false</ScaleCrop>
  <LinksUpToDate>false</LinksUpToDate>
  <CharactersWithSpaces>7693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2021-10-29T09:11:00Z</dcterms:created>
  <dc:creator>李航 null</dc:creator>
  <cp:lastModifiedBy>朱亚林</cp:lastModifiedBy>
  <cp:lastPrinted>2021-10-29T07:14:00Z</cp:lastPrinted>
  <dcterms:modified xsi:type="dcterms:W3CDTF">2022-10-17T12:11:00Z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5F22FD8C54D84091A6176CC09004A21E</vt:lpwstr>
  </property>
</Properties>
</file>