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cs="黑体"/>
          <w:color w:val="000000"/>
          <w:kern w:val="0"/>
          <w:sz w:val="24"/>
          <w:szCs w:val="24"/>
        </w:rPr>
      </w:pPr>
      <w:r>
        <w:rPr>
          <w:rFonts w:hint="eastAsia" w:ascii="黑体" w:eastAsia="黑体" w:cs="黑体"/>
          <w:color w:val="000000"/>
          <w:kern w:val="0"/>
          <w:sz w:val="24"/>
          <w:szCs w:val="24"/>
        </w:rPr>
        <w:t>附件2：</w:t>
      </w:r>
    </w:p>
    <w:p>
      <w:pPr>
        <w:spacing w:line="600" w:lineRule="exact"/>
        <w:ind w:left="540" w:hanging="540"/>
        <w:jc w:val="center"/>
        <w:rPr>
          <w:rFonts w:ascii="仿宋" w:hAnsi="仿宋" w:eastAsia="仿宋"/>
          <w:b/>
          <w:bCs/>
          <w:sz w:val="36"/>
          <w:szCs w:val="36"/>
        </w:rPr>
      </w:pPr>
      <w:r>
        <w:rPr>
          <w:rFonts w:hint="eastAsia" w:ascii="仿宋" w:hAnsi="仿宋" w:eastAsia="仿宋"/>
          <w:b/>
          <w:bCs/>
          <w:sz w:val="36"/>
          <w:szCs w:val="36"/>
        </w:rPr>
        <w:t>新邵县潭溪镇人民政府</w:t>
      </w:r>
    </w:p>
    <w:p>
      <w:pPr>
        <w:spacing w:line="600" w:lineRule="exact"/>
        <w:ind w:left="540" w:hanging="540"/>
        <w:jc w:val="center"/>
        <w:rPr>
          <w:rFonts w:ascii="仿宋" w:hAnsi="仿宋" w:eastAsia="仿宋"/>
          <w:b/>
          <w:bCs/>
          <w:sz w:val="36"/>
          <w:szCs w:val="36"/>
        </w:rPr>
      </w:pPr>
      <w:r>
        <w:rPr>
          <w:rFonts w:hint="eastAsia" w:ascii="仿宋" w:hAnsi="仿宋" w:eastAsia="仿宋"/>
          <w:b/>
          <w:bCs/>
          <w:sz w:val="36"/>
          <w:szCs w:val="36"/>
        </w:rPr>
        <w:t>2020年度部门整体支出绩效自评报告</w:t>
      </w:r>
    </w:p>
    <w:p>
      <w:pPr>
        <w:spacing w:line="600" w:lineRule="exact"/>
        <w:ind w:left="540" w:hanging="540"/>
        <w:jc w:val="center"/>
        <w:rPr>
          <w:rFonts w:ascii="仿宋" w:hAnsi="仿宋" w:eastAsia="仿宋"/>
          <w:b/>
          <w:bCs/>
          <w:sz w:val="36"/>
          <w:szCs w:val="36"/>
        </w:rPr>
      </w:pPr>
    </w:p>
    <w:p>
      <w:pPr>
        <w:adjustRightInd w:val="0"/>
        <w:snapToGrid w:val="0"/>
        <w:spacing w:line="600" w:lineRule="exact"/>
        <w:ind w:firstLine="560" w:firstLineChars="200"/>
        <w:rPr>
          <w:rFonts w:ascii="仿宋" w:hAnsi="仿宋" w:eastAsia="仿宋"/>
          <w:sz w:val="28"/>
          <w:szCs w:val="32"/>
        </w:rPr>
      </w:pPr>
      <w:r>
        <w:rPr>
          <w:rFonts w:hint="eastAsia" w:ascii="仿宋" w:hAnsi="仿宋" w:eastAsia="仿宋"/>
          <w:sz w:val="28"/>
          <w:szCs w:val="32"/>
        </w:rPr>
        <w:t>一、部门概况</w:t>
      </w:r>
    </w:p>
    <w:p>
      <w:pPr>
        <w:adjustRightInd w:val="0"/>
        <w:snapToGrid w:val="0"/>
        <w:spacing w:line="600" w:lineRule="exact"/>
        <w:ind w:firstLine="560" w:firstLineChars="200"/>
        <w:rPr>
          <w:rFonts w:ascii="仿宋" w:hAnsi="仿宋" w:eastAsia="仿宋"/>
          <w:sz w:val="28"/>
          <w:szCs w:val="32"/>
        </w:rPr>
      </w:pPr>
      <w:r>
        <w:rPr>
          <w:rFonts w:hint="eastAsia" w:ascii="仿宋" w:hAnsi="仿宋" w:eastAsia="仿宋"/>
          <w:sz w:val="28"/>
          <w:szCs w:val="32"/>
        </w:rPr>
        <w:t>（一）部门基本情况</w:t>
      </w:r>
    </w:p>
    <w:p>
      <w:pPr>
        <w:adjustRightInd w:val="0"/>
        <w:snapToGrid w:val="0"/>
        <w:spacing w:line="600" w:lineRule="exact"/>
        <w:ind w:firstLine="560" w:firstLineChars="200"/>
        <w:rPr>
          <w:rFonts w:ascii="仿宋" w:hAnsi="仿宋" w:eastAsia="仿宋"/>
          <w:sz w:val="32"/>
          <w:szCs w:val="32"/>
        </w:rPr>
      </w:pPr>
      <w:r>
        <w:rPr>
          <w:rFonts w:hint="eastAsia" w:ascii="仿宋" w:hAnsi="仿宋" w:eastAsia="仿宋"/>
          <w:sz w:val="28"/>
          <w:szCs w:val="32"/>
        </w:rPr>
        <w:t>按照“精简、统一、效能”和“小政府、大服务”的原则和本轮机构改革的要求，我镇现设置10个内设机构，即6个党政机构：党政综合办公室、基层党建办公室、经济发展办公室（加挂农业农村工作办公室牌子）、社会事务办公室（加挂行政审批</w:t>
      </w:r>
      <w:r>
        <w:rPr>
          <w:rFonts w:hint="eastAsia" w:ascii="仿宋" w:hAnsi="仿宋" w:eastAsia="仿宋" w:cs="Times New Roman"/>
          <w:sz w:val="32"/>
          <w:szCs w:val="32"/>
        </w:rPr>
        <w:t>服务办公室牌子）、社会治安和应急管理办公室、自然资源和生态环境办公室；1个综合行政执法大队；3个综合服务中心：社会事务综合服务中心（加挂文化综</w:t>
      </w:r>
      <w:r>
        <w:rPr>
          <w:rFonts w:hint="eastAsia" w:ascii="仿宋" w:hAnsi="仿宋" w:eastAsia="仿宋" w:cs="仿宋"/>
          <w:color w:val="1E1E1E"/>
          <w:sz w:val="32"/>
          <w:szCs w:val="32"/>
          <w:shd w:val="clear" w:color="auto" w:fill="FFFFFF"/>
        </w:rPr>
        <w:t>合服务站牌子）、农业综合服务中心、政务服务中心。</w:t>
      </w:r>
      <w:r>
        <w:rPr>
          <w:rFonts w:ascii="仿宋" w:hAnsi="仿宋" w:eastAsia="仿宋" w:cs="仿宋"/>
          <w:color w:val="1E1E1E"/>
          <w:sz w:val="32"/>
          <w:szCs w:val="32"/>
          <w:shd w:val="clear" w:color="auto" w:fill="FFFFFF"/>
        </w:rPr>
        <w:t>潭溪镇</w:t>
      </w:r>
      <w:r>
        <w:rPr>
          <w:rFonts w:hint="eastAsia" w:ascii="仿宋" w:hAnsi="仿宋" w:eastAsia="仿宋" w:cs="仿宋"/>
          <w:color w:val="1E1E1E"/>
          <w:sz w:val="32"/>
          <w:szCs w:val="32"/>
          <w:shd w:val="clear" w:color="auto" w:fill="FFFFFF"/>
        </w:rPr>
        <w:t>人民政府机关行政编制38名，事业编制53名，年末实有人人数126人（其中在职98人，离退休28人）。</w:t>
      </w:r>
      <w:r>
        <w:rPr>
          <w:rFonts w:hint="eastAsia" w:ascii="微软雅黑" w:hAnsi="微软雅黑" w:eastAsia="微软雅黑" w:cs="微软雅黑"/>
          <w:color w:val="1E1E1E"/>
          <w:sz w:val="22"/>
          <w:shd w:val="clear" w:color="auto" w:fill="FFFFFF"/>
        </w:rPr>
        <w:t>             </w:t>
      </w: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rPr>
        <w:t>）主要工作职责</w:t>
      </w:r>
    </w:p>
    <w:p>
      <w:pPr>
        <w:adjustRightInd w:val="0"/>
        <w:snapToGrid w:val="0"/>
        <w:spacing w:line="600" w:lineRule="exact"/>
        <w:ind w:firstLine="560" w:firstLineChars="200"/>
        <w:rPr>
          <w:rFonts w:ascii="仿宋" w:hAnsi="仿宋" w:eastAsia="仿宋"/>
          <w:sz w:val="28"/>
          <w:szCs w:val="32"/>
        </w:rPr>
      </w:pPr>
      <w:r>
        <w:rPr>
          <w:rFonts w:hint="eastAsia" w:ascii="仿宋" w:hAnsi="仿宋" w:eastAsia="仿宋"/>
          <w:sz w:val="28"/>
          <w:szCs w:val="32"/>
        </w:rPr>
        <w:t>1.宣传贯彻执行党的路线、方针、政策，执行国家法律法规，开展普法教育，协调配合派出所、司法所工作，搞好群防群治，维护村民特别是妇女儿童的合法权益，构建平安和谐环境。</w:t>
      </w:r>
    </w:p>
    <w:p>
      <w:pPr>
        <w:adjustRightInd w:val="0"/>
        <w:snapToGrid w:val="0"/>
        <w:spacing w:line="600" w:lineRule="exact"/>
        <w:ind w:firstLine="560" w:firstLineChars="200"/>
        <w:rPr>
          <w:rFonts w:ascii="仿宋" w:hAnsi="仿宋" w:eastAsia="仿宋"/>
          <w:sz w:val="28"/>
          <w:szCs w:val="32"/>
        </w:rPr>
      </w:pPr>
      <w:r>
        <w:rPr>
          <w:rFonts w:hint="eastAsia" w:ascii="仿宋" w:hAnsi="仿宋" w:eastAsia="仿宋"/>
          <w:sz w:val="28"/>
          <w:szCs w:val="32"/>
        </w:rPr>
        <w:t>2.制定并实施年度党务、行政工作计划。协调农经、农技、林业、水利、畜牧、工商、供销、金融、城建等单位间的关系，抓好本辖区内的党务、群团、广播、文化、教育、卫生、财政税收、计划生育、民政、物价、交通、劳动保障、安全、国土管理和村镇建设等工作，促进辖区内的公益事业，公共事业和社会各项工作发展。</w:t>
      </w: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r>
        <w:rPr>
          <w:rFonts w:hint="eastAsia" w:ascii="仿宋" w:hAnsi="仿宋" w:eastAsia="仿宋" w:cs="仿宋"/>
          <w:color w:val="1E1E1E"/>
          <w:kern w:val="0"/>
          <w:sz w:val="32"/>
          <w:szCs w:val="32"/>
          <w:shd w:val="clear" w:color="auto" w:fill="FFFFFF"/>
        </w:rPr>
        <w:t>3.抓好基层组织建设、思想建设、党纪党风和廉政建设，做好党员群众的政治思想，搞好社会治安综合治理，促进精神文明建设。</w:t>
      </w: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r>
        <w:rPr>
          <w:rFonts w:hint="eastAsia" w:ascii="仿宋" w:hAnsi="仿宋" w:eastAsia="仿宋" w:cs="仿宋"/>
          <w:color w:val="1E1E1E"/>
          <w:kern w:val="0"/>
          <w:sz w:val="32"/>
          <w:szCs w:val="32"/>
          <w:shd w:val="clear" w:color="auto" w:fill="FFFFFF"/>
        </w:rPr>
        <w:t>4.以经济建设为中心，抓好农、林、牧、渔、山、水、田、林、路、气的开发利用和农技推广，发展“三高”农业，调整产业结构壮大工业经济，协调个体私营经济发展。</w:t>
      </w: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r>
        <w:rPr>
          <w:rFonts w:hint="eastAsia" w:ascii="仿宋" w:hAnsi="仿宋" w:eastAsia="仿宋" w:cs="仿宋"/>
          <w:color w:val="1E1E1E"/>
          <w:kern w:val="0"/>
          <w:sz w:val="32"/>
          <w:szCs w:val="32"/>
          <w:shd w:val="clear" w:color="auto" w:fill="FFFFFF"/>
        </w:rPr>
        <w:t>5.积极培植税源，协助完成财政税收任务，搞好粮食直补工作，增加科技投入，增加农业收入，建立健全全村社管理机构和规章制度，加强财务管理，实行政务公开。</w:t>
      </w: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r>
        <w:rPr>
          <w:rFonts w:hint="eastAsia" w:ascii="仿宋" w:hAnsi="仿宋" w:eastAsia="仿宋" w:cs="仿宋"/>
          <w:color w:val="1E1E1E"/>
          <w:kern w:val="0"/>
          <w:sz w:val="32"/>
          <w:szCs w:val="32"/>
          <w:shd w:val="clear" w:color="auto" w:fill="FFFFFF"/>
        </w:rPr>
        <w:t>6.坚持常年经常的计生工作，稳定人口增长。</w:t>
      </w:r>
    </w:p>
    <w:p>
      <w:pPr>
        <w:widowControl/>
        <w:shd w:val="clear" w:color="auto" w:fill="FFFFFF"/>
        <w:spacing w:line="600" w:lineRule="atLeast"/>
        <w:ind w:firstLine="640" w:firstLineChars="200"/>
        <w:jc w:val="left"/>
        <w:rPr>
          <w:rFonts w:ascii="仿宋" w:hAnsi="仿宋" w:eastAsia="仿宋"/>
          <w:sz w:val="32"/>
          <w:szCs w:val="32"/>
        </w:rPr>
      </w:pPr>
      <w:r>
        <w:rPr>
          <w:rFonts w:hint="eastAsia" w:ascii="仿宋" w:hAnsi="仿宋" w:eastAsia="仿宋" w:cs="仿宋"/>
          <w:color w:val="1E1E1E"/>
          <w:kern w:val="0"/>
          <w:sz w:val="32"/>
          <w:szCs w:val="32"/>
          <w:shd w:val="clear" w:color="auto" w:fill="FFFFFF"/>
        </w:rPr>
        <w:t>7.负责全镇辖区内的村级组织建设和换届选举工作，管理、教育、考核奖惩村社干部，组织村民进行自我教育、自我管理，依法履行义务，维护村民正当权利和权益。</w:t>
      </w: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（三）2020年度工作计划。</w:t>
      </w: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r>
        <w:rPr>
          <w:rFonts w:hint="eastAsia" w:ascii="仿宋" w:hAnsi="仿宋" w:eastAsia="仿宋" w:cs="仿宋"/>
          <w:color w:val="1E1E1E"/>
          <w:kern w:val="0"/>
          <w:sz w:val="32"/>
          <w:szCs w:val="32"/>
          <w:shd w:val="clear" w:color="auto" w:fill="FFFFFF"/>
        </w:rPr>
        <w:t>1、做好财政预决算工作。年初做好财政部门预算的编制上报，落实财政部门的工作要求，按照预算指标合理安排和使用资金，严格执行年初预算，年终做好部门决算工作。确保全年收支平衡。</w:t>
      </w: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r>
        <w:rPr>
          <w:rFonts w:hint="eastAsia" w:ascii="仿宋" w:hAnsi="仿宋" w:eastAsia="仿宋" w:cs="仿宋"/>
          <w:color w:val="1E1E1E"/>
          <w:kern w:val="0"/>
          <w:sz w:val="32"/>
          <w:szCs w:val="32"/>
          <w:shd w:val="clear" w:color="auto" w:fill="FFFFFF"/>
        </w:rPr>
        <w:t>2、加大税收征管工作力度。抓好重点税种的入库，对税源比较集中的地区，税收额度较大的税种，实行跟踪调度管理，加快税收入库进度。配备专职协税员，积极配合税务部门的征税工作，加大对全镇辖区内纳税人的税法宣传力度，提升纳税人的纳税意识，及时完成税收任务。</w:t>
      </w: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r>
        <w:rPr>
          <w:rFonts w:hint="eastAsia" w:ascii="仿宋" w:hAnsi="仿宋" w:eastAsia="仿宋" w:cs="仿宋"/>
          <w:color w:val="1E1E1E"/>
          <w:kern w:val="0"/>
          <w:sz w:val="32"/>
          <w:szCs w:val="32"/>
          <w:shd w:val="clear" w:color="auto" w:fill="FFFFFF"/>
        </w:rPr>
        <w:t>3、严格控制费用开支。严格执行财务会审制度，重大活动开支需以书面报告形式，做好预算，报分管领导核实，经党委书记、镇长同意后方可开支；日常费用报销应严格按照镇财务会审制度，提供正规发票，票额相符，按要求规范填写，经财务会审小组审核后方予以报账。建立财务支出监督机制，大力压缩非生产性支出，减少铺张浪费行为，降低三公经费支出。</w:t>
      </w: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r>
        <w:rPr>
          <w:rFonts w:hint="eastAsia" w:ascii="仿宋" w:hAnsi="仿宋" w:eastAsia="仿宋" w:cs="仿宋"/>
          <w:color w:val="1E1E1E"/>
          <w:kern w:val="0"/>
          <w:sz w:val="32"/>
          <w:szCs w:val="32"/>
          <w:shd w:val="clear" w:color="auto" w:fill="FFFFFF"/>
        </w:rPr>
        <w:t>4、加强村（社区）级财务监管。加大监管和督查力度，成立村（社区）财务审计专项工作小组，定期对村（社区）的各项专项资金的拨付和使用情况、记账是否规范和齐全、报账程序是否完善等情况进行督查。</w:t>
      </w: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二、部门整体支出规模、使用方向和内容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一</w:t>
      </w:r>
      <w:r>
        <w:rPr>
          <w:rFonts w:hint="eastAsia" w:ascii="仿宋" w:hAnsi="仿宋" w:eastAsia="仿宋"/>
          <w:sz w:val="32"/>
          <w:szCs w:val="32"/>
        </w:rPr>
        <w:t>）年度预算收支情况</w:t>
      </w: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1.年初预算收支</w:t>
      </w:r>
    </w:p>
    <w:tbl>
      <w:tblPr>
        <w:tblStyle w:val="5"/>
        <w:tblW w:w="8698" w:type="dxa"/>
        <w:jc w:val="center"/>
        <w:tblLayout w:type="fixed"/>
        <w:tblCellMar>
          <w:top w:w="0" w:type="dxa"/>
          <w:left w:w="0" w:type="dxa"/>
          <w:bottom w:w="0" w:type="dxa"/>
          <w:right w:w="0" w:type="dxa"/>
        </w:tblCellMar>
      </w:tblPr>
      <w:tblGrid>
        <w:gridCol w:w="2139"/>
        <w:gridCol w:w="1740"/>
        <w:gridCol w:w="1627"/>
        <w:gridCol w:w="1556"/>
        <w:gridCol w:w="1636"/>
      </w:tblGrid>
      <w:tr>
        <w:tblPrEx>
          <w:tblCellMar>
            <w:top w:w="0" w:type="dxa"/>
            <w:left w:w="0" w:type="dxa"/>
            <w:bottom w:w="0" w:type="dxa"/>
            <w:right w:w="0" w:type="dxa"/>
          </w:tblCellMar>
        </w:tblPrEx>
        <w:trPr>
          <w:trHeight w:val="621" w:hRule="atLeast"/>
          <w:jc w:val="center"/>
        </w:trPr>
        <w:tc>
          <w:tcPr>
            <w:tcW w:w="2139" w:type="dxa"/>
            <w:vMerge w:val="restart"/>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宋体"/>
                <w:b/>
                <w:color w:val="000000"/>
                <w:kern w:val="0"/>
                <w:szCs w:val="21"/>
              </w:rPr>
              <w:t>预算项目</w:t>
            </w:r>
          </w:p>
        </w:tc>
        <w:tc>
          <w:tcPr>
            <w:tcW w:w="3367"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宋体"/>
                <w:b/>
                <w:color w:val="000000"/>
                <w:kern w:val="0"/>
                <w:szCs w:val="21"/>
              </w:rPr>
              <w:t>预算金额</w:t>
            </w:r>
          </w:p>
        </w:tc>
        <w:tc>
          <w:tcPr>
            <w:tcW w:w="3192"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宋体"/>
                <w:b/>
                <w:color w:val="000000"/>
                <w:kern w:val="0"/>
                <w:szCs w:val="21"/>
              </w:rPr>
              <w:t>较上年增减变化</w:t>
            </w:r>
          </w:p>
        </w:tc>
      </w:tr>
      <w:tr>
        <w:tblPrEx>
          <w:tblCellMar>
            <w:top w:w="0" w:type="dxa"/>
            <w:left w:w="0" w:type="dxa"/>
            <w:bottom w:w="0" w:type="dxa"/>
            <w:right w:w="0" w:type="dxa"/>
          </w:tblCellMar>
        </w:tblPrEx>
        <w:trPr>
          <w:trHeight w:val="621" w:hRule="atLeast"/>
          <w:jc w:val="center"/>
        </w:trPr>
        <w:tc>
          <w:tcPr>
            <w:tcW w:w="2139" w:type="dxa"/>
            <w:vMerge w:val="continue"/>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snapToGrid w:val="0"/>
              <w:spacing w:line="600" w:lineRule="exact"/>
              <w:ind w:left="315" w:hanging="315"/>
              <w:rPr>
                <w:rFonts w:ascii="仿宋" w:hAnsi="仿宋" w:eastAsia="仿宋" w:cs="Arial"/>
                <w:color w:val="333333"/>
                <w:szCs w:val="21"/>
              </w:rPr>
            </w:pPr>
          </w:p>
        </w:tc>
        <w:tc>
          <w:tcPr>
            <w:tcW w:w="1740"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微软雅黑"/>
                <w:b/>
                <w:color w:val="000000"/>
                <w:kern w:val="0"/>
                <w:szCs w:val="21"/>
              </w:rPr>
              <w:t>2020</w:t>
            </w:r>
            <w:r>
              <w:rPr>
                <w:rFonts w:hint="eastAsia" w:ascii="仿宋" w:hAnsi="仿宋" w:eastAsia="仿宋" w:cs="宋体"/>
                <w:b/>
                <w:color w:val="000000"/>
                <w:kern w:val="0"/>
                <w:szCs w:val="21"/>
              </w:rPr>
              <w:t>年</w:t>
            </w:r>
          </w:p>
        </w:tc>
        <w:tc>
          <w:tcPr>
            <w:tcW w:w="1627"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微软雅黑"/>
                <w:b/>
                <w:color w:val="000000"/>
                <w:kern w:val="0"/>
                <w:szCs w:val="21"/>
              </w:rPr>
              <w:t>2019</w:t>
            </w:r>
            <w:r>
              <w:rPr>
                <w:rFonts w:hint="eastAsia" w:ascii="仿宋" w:hAnsi="仿宋" w:eastAsia="仿宋" w:cs="宋体"/>
                <w:b/>
                <w:color w:val="000000"/>
                <w:kern w:val="0"/>
                <w:szCs w:val="21"/>
              </w:rPr>
              <w:t>年</w:t>
            </w:r>
          </w:p>
        </w:tc>
        <w:tc>
          <w:tcPr>
            <w:tcW w:w="1556"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宋体"/>
                <w:b/>
                <w:color w:val="000000"/>
                <w:kern w:val="0"/>
                <w:szCs w:val="21"/>
              </w:rPr>
              <w:t>金额</w:t>
            </w:r>
          </w:p>
        </w:tc>
        <w:tc>
          <w:tcPr>
            <w:tcW w:w="1636"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6" w:hanging="316"/>
              <w:jc w:val="center"/>
              <w:textAlignment w:val="center"/>
              <w:rPr>
                <w:rFonts w:ascii="仿宋" w:hAnsi="仿宋" w:eastAsia="仿宋" w:cs="微软雅黑"/>
                <w:color w:val="010101"/>
                <w:szCs w:val="21"/>
              </w:rPr>
            </w:pPr>
            <w:r>
              <w:rPr>
                <w:rFonts w:hint="eastAsia" w:ascii="仿宋" w:hAnsi="仿宋" w:eastAsia="仿宋" w:cs="宋体"/>
                <w:b/>
                <w:color w:val="000000"/>
                <w:kern w:val="0"/>
                <w:szCs w:val="21"/>
              </w:rPr>
              <w:t>比例</w:t>
            </w:r>
          </w:p>
        </w:tc>
      </w:tr>
      <w:tr>
        <w:tblPrEx>
          <w:tblCellMar>
            <w:top w:w="0" w:type="dxa"/>
            <w:left w:w="0" w:type="dxa"/>
            <w:bottom w:w="0" w:type="dxa"/>
            <w:right w:w="0" w:type="dxa"/>
          </w:tblCellMar>
        </w:tblPrEx>
        <w:trPr>
          <w:trHeight w:val="621" w:hRule="atLeast"/>
          <w:jc w:val="center"/>
        </w:trPr>
        <w:tc>
          <w:tcPr>
            <w:tcW w:w="213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6" w:hanging="316"/>
              <w:jc w:val="left"/>
              <w:rPr>
                <w:rFonts w:ascii="仿宋" w:hAnsi="仿宋" w:eastAsia="仿宋" w:cs="微软雅黑"/>
                <w:color w:val="010101"/>
                <w:szCs w:val="21"/>
              </w:rPr>
            </w:pPr>
            <w:r>
              <w:rPr>
                <w:rFonts w:hint="eastAsia" w:ascii="仿宋" w:hAnsi="仿宋" w:eastAsia="仿宋" w:cs="宋体"/>
                <w:b/>
                <w:color w:val="010101"/>
                <w:kern w:val="0"/>
                <w:szCs w:val="21"/>
              </w:rPr>
              <w:t>收入预算</w:t>
            </w:r>
          </w:p>
        </w:tc>
        <w:tc>
          <w:tcPr>
            <w:tcW w:w="1740"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hangingChars="150"/>
              <w:jc w:val="center"/>
              <w:rPr>
                <w:rFonts w:ascii="仿宋" w:hAnsi="仿宋" w:eastAsia="仿宋" w:cs="微软雅黑"/>
                <w:color w:val="010101"/>
                <w:szCs w:val="21"/>
              </w:rPr>
            </w:pPr>
            <w:r>
              <w:rPr>
                <w:rFonts w:hint="eastAsia" w:ascii="仿宋" w:hAnsi="仿宋" w:eastAsia="仿宋" w:cs="微软雅黑"/>
                <w:color w:val="010101"/>
                <w:szCs w:val="21"/>
              </w:rPr>
              <w:t>1590</w:t>
            </w:r>
          </w:p>
        </w:tc>
        <w:tc>
          <w:tcPr>
            <w:tcW w:w="162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hangingChars="150"/>
              <w:jc w:val="center"/>
              <w:rPr>
                <w:rFonts w:ascii="仿宋" w:hAnsi="仿宋" w:eastAsia="仿宋" w:cs="微软雅黑"/>
                <w:color w:val="010101"/>
                <w:szCs w:val="21"/>
              </w:rPr>
            </w:pPr>
            <w:r>
              <w:rPr>
                <w:rFonts w:hint="eastAsia" w:ascii="仿宋" w:hAnsi="仿宋" w:eastAsia="仿宋" w:cs="微软雅黑"/>
                <w:color w:val="010101"/>
                <w:szCs w:val="21"/>
              </w:rPr>
              <w:t>883.75</w:t>
            </w:r>
          </w:p>
        </w:tc>
        <w:tc>
          <w:tcPr>
            <w:tcW w:w="155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hangingChars="150"/>
              <w:jc w:val="right"/>
              <w:rPr>
                <w:rFonts w:ascii="仿宋" w:hAnsi="仿宋" w:eastAsia="仿宋" w:cs="微软雅黑"/>
                <w:color w:val="010101"/>
                <w:szCs w:val="21"/>
              </w:rPr>
            </w:pPr>
            <w:r>
              <w:rPr>
                <w:rFonts w:hint="eastAsia" w:ascii="仿宋" w:hAnsi="仿宋" w:eastAsia="仿宋" w:cs="微软雅黑"/>
                <w:color w:val="010101"/>
                <w:szCs w:val="21"/>
              </w:rPr>
              <w:t>706.25</w:t>
            </w:r>
          </w:p>
        </w:tc>
        <w:tc>
          <w:tcPr>
            <w:tcW w:w="16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hangingChars="150"/>
              <w:jc w:val="center"/>
              <w:rPr>
                <w:rFonts w:ascii="仿宋" w:hAnsi="仿宋" w:eastAsia="仿宋" w:cs="微软雅黑"/>
                <w:color w:val="010101"/>
                <w:szCs w:val="21"/>
              </w:rPr>
            </w:pPr>
            <w:r>
              <w:rPr>
                <w:rFonts w:hint="eastAsia" w:ascii="仿宋" w:hAnsi="仿宋" w:eastAsia="仿宋" w:cs="微软雅黑"/>
                <w:color w:val="010101"/>
                <w:szCs w:val="21"/>
              </w:rPr>
              <w:t>79.92%</w:t>
            </w:r>
          </w:p>
        </w:tc>
      </w:tr>
      <w:tr>
        <w:tblPrEx>
          <w:tblCellMar>
            <w:top w:w="0" w:type="dxa"/>
            <w:left w:w="0" w:type="dxa"/>
            <w:bottom w:w="0" w:type="dxa"/>
            <w:right w:w="0" w:type="dxa"/>
          </w:tblCellMar>
        </w:tblPrEx>
        <w:trPr>
          <w:trHeight w:val="621" w:hRule="atLeast"/>
          <w:jc w:val="center"/>
        </w:trPr>
        <w:tc>
          <w:tcPr>
            <w:tcW w:w="213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left"/>
              <w:rPr>
                <w:rFonts w:ascii="仿宋" w:hAnsi="仿宋" w:eastAsia="仿宋" w:cs="微软雅黑"/>
                <w:color w:val="010101"/>
                <w:szCs w:val="21"/>
              </w:rPr>
            </w:pPr>
            <w:r>
              <w:rPr>
                <w:rFonts w:hint="eastAsia" w:ascii="仿宋" w:hAnsi="仿宋" w:eastAsia="仿宋" w:cs="宋体"/>
                <w:color w:val="010101"/>
                <w:kern w:val="0"/>
                <w:szCs w:val="21"/>
              </w:rPr>
              <w:t>其中：财政经费拨款</w:t>
            </w:r>
          </w:p>
        </w:tc>
        <w:tc>
          <w:tcPr>
            <w:tcW w:w="1740"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hangingChars="150"/>
              <w:jc w:val="center"/>
              <w:rPr>
                <w:rFonts w:ascii="仿宋" w:hAnsi="仿宋" w:eastAsia="仿宋" w:cs="微软雅黑"/>
                <w:color w:val="010101"/>
                <w:szCs w:val="21"/>
              </w:rPr>
            </w:pPr>
            <w:r>
              <w:rPr>
                <w:rFonts w:hint="eastAsia" w:ascii="仿宋" w:hAnsi="仿宋" w:eastAsia="仿宋" w:cs="微软雅黑"/>
                <w:color w:val="010101"/>
                <w:szCs w:val="21"/>
              </w:rPr>
              <w:t>1590</w:t>
            </w:r>
          </w:p>
        </w:tc>
        <w:tc>
          <w:tcPr>
            <w:tcW w:w="162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hangingChars="150"/>
              <w:jc w:val="center"/>
              <w:rPr>
                <w:rFonts w:ascii="仿宋" w:hAnsi="仿宋" w:eastAsia="仿宋" w:cs="微软雅黑"/>
                <w:color w:val="010101"/>
                <w:szCs w:val="21"/>
              </w:rPr>
            </w:pPr>
            <w:r>
              <w:rPr>
                <w:rFonts w:hint="eastAsia" w:ascii="仿宋" w:hAnsi="仿宋" w:eastAsia="仿宋" w:cs="微软雅黑"/>
                <w:color w:val="010101"/>
                <w:szCs w:val="21"/>
              </w:rPr>
              <w:t>883.75</w:t>
            </w:r>
          </w:p>
        </w:tc>
        <w:tc>
          <w:tcPr>
            <w:tcW w:w="155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hangingChars="150"/>
              <w:jc w:val="right"/>
              <w:rPr>
                <w:rFonts w:ascii="仿宋" w:hAnsi="仿宋" w:eastAsia="仿宋" w:cs="微软雅黑"/>
                <w:color w:val="010101"/>
                <w:szCs w:val="21"/>
              </w:rPr>
            </w:pPr>
            <w:r>
              <w:rPr>
                <w:rFonts w:hint="eastAsia" w:ascii="仿宋" w:hAnsi="仿宋" w:eastAsia="仿宋" w:cs="微软雅黑"/>
                <w:color w:val="010101"/>
                <w:szCs w:val="21"/>
              </w:rPr>
              <w:t>706.25</w:t>
            </w:r>
          </w:p>
        </w:tc>
        <w:tc>
          <w:tcPr>
            <w:tcW w:w="16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hangingChars="150"/>
              <w:jc w:val="center"/>
              <w:rPr>
                <w:rFonts w:ascii="仿宋" w:hAnsi="仿宋" w:eastAsia="仿宋" w:cs="微软雅黑"/>
                <w:color w:val="010101"/>
                <w:szCs w:val="21"/>
              </w:rPr>
            </w:pPr>
            <w:r>
              <w:rPr>
                <w:rFonts w:hint="eastAsia" w:ascii="仿宋" w:hAnsi="仿宋" w:eastAsia="仿宋" w:cs="微软雅黑"/>
                <w:color w:val="010101"/>
                <w:szCs w:val="21"/>
              </w:rPr>
              <w:t>79.92%</w:t>
            </w:r>
          </w:p>
        </w:tc>
      </w:tr>
      <w:tr>
        <w:tblPrEx>
          <w:tblCellMar>
            <w:top w:w="0" w:type="dxa"/>
            <w:left w:w="0" w:type="dxa"/>
            <w:bottom w:w="0" w:type="dxa"/>
            <w:right w:w="0" w:type="dxa"/>
          </w:tblCellMar>
        </w:tblPrEx>
        <w:trPr>
          <w:trHeight w:val="621" w:hRule="atLeast"/>
          <w:jc w:val="center"/>
        </w:trPr>
        <w:tc>
          <w:tcPr>
            <w:tcW w:w="213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6" w:hanging="316"/>
              <w:jc w:val="left"/>
              <w:rPr>
                <w:rFonts w:ascii="仿宋" w:hAnsi="仿宋" w:eastAsia="仿宋" w:cs="微软雅黑"/>
                <w:color w:val="010101"/>
                <w:szCs w:val="21"/>
              </w:rPr>
            </w:pPr>
            <w:r>
              <w:rPr>
                <w:rFonts w:hint="eastAsia" w:ascii="仿宋" w:hAnsi="仿宋" w:eastAsia="仿宋" w:cs="宋体"/>
                <w:b/>
                <w:color w:val="010101"/>
                <w:kern w:val="0"/>
                <w:szCs w:val="21"/>
              </w:rPr>
              <w:t>支出预算</w:t>
            </w:r>
          </w:p>
        </w:tc>
        <w:tc>
          <w:tcPr>
            <w:tcW w:w="1740"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hangingChars="150"/>
              <w:jc w:val="center"/>
              <w:rPr>
                <w:rFonts w:ascii="仿宋" w:hAnsi="仿宋" w:eastAsia="仿宋" w:cs="微软雅黑"/>
                <w:color w:val="010101"/>
                <w:szCs w:val="21"/>
              </w:rPr>
            </w:pPr>
            <w:r>
              <w:rPr>
                <w:rFonts w:hint="eastAsia" w:ascii="仿宋" w:hAnsi="仿宋" w:eastAsia="仿宋" w:cs="微软雅黑"/>
                <w:color w:val="010101"/>
                <w:szCs w:val="21"/>
              </w:rPr>
              <w:t>1590</w:t>
            </w:r>
          </w:p>
        </w:tc>
        <w:tc>
          <w:tcPr>
            <w:tcW w:w="162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hangingChars="150"/>
              <w:jc w:val="center"/>
              <w:rPr>
                <w:rFonts w:ascii="仿宋" w:hAnsi="仿宋" w:eastAsia="仿宋" w:cs="微软雅黑"/>
                <w:color w:val="000000"/>
                <w:szCs w:val="21"/>
              </w:rPr>
            </w:pPr>
            <w:r>
              <w:rPr>
                <w:rFonts w:hint="eastAsia" w:ascii="仿宋" w:hAnsi="仿宋" w:eastAsia="仿宋" w:cs="微软雅黑"/>
                <w:color w:val="010101"/>
                <w:szCs w:val="21"/>
              </w:rPr>
              <w:t>883.75</w:t>
            </w:r>
          </w:p>
        </w:tc>
        <w:tc>
          <w:tcPr>
            <w:tcW w:w="155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hangingChars="150"/>
              <w:jc w:val="right"/>
              <w:rPr>
                <w:rFonts w:ascii="仿宋" w:hAnsi="仿宋" w:eastAsia="仿宋" w:cs="微软雅黑"/>
                <w:color w:val="010101"/>
                <w:szCs w:val="21"/>
              </w:rPr>
            </w:pPr>
            <w:r>
              <w:rPr>
                <w:rFonts w:hint="eastAsia" w:ascii="仿宋" w:hAnsi="仿宋" w:eastAsia="仿宋" w:cs="微软雅黑"/>
                <w:color w:val="010101"/>
                <w:szCs w:val="21"/>
              </w:rPr>
              <w:t>706.25</w:t>
            </w:r>
          </w:p>
        </w:tc>
        <w:tc>
          <w:tcPr>
            <w:tcW w:w="16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hangingChars="150"/>
              <w:jc w:val="center"/>
              <w:rPr>
                <w:rFonts w:ascii="仿宋" w:hAnsi="仿宋" w:eastAsia="仿宋" w:cs="微软雅黑"/>
                <w:color w:val="010101"/>
                <w:szCs w:val="21"/>
              </w:rPr>
            </w:pPr>
            <w:r>
              <w:rPr>
                <w:rFonts w:hint="eastAsia" w:ascii="仿宋" w:hAnsi="仿宋" w:eastAsia="仿宋" w:cs="微软雅黑"/>
                <w:color w:val="010101"/>
                <w:szCs w:val="21"/>
              </w:rPr>
              <w:t>79.92%</w:t>
            </w:r>
          </w:p>
        </w:tc>
      </w:tr>
      <w:tr>
        <w:tblPrEx>
          <w:tblCellMar>
            <w:top w:w="0" w:type="dxa"/>
            <w:left w:w="0" w:type="dxa"/>
            <w:bottom w:w="0" w:type="dxa"/>
            <w:right w:w="0" w:type="dxa"/>
          </w:tblCellMar>
        </w:tblPrEx>
        <w:trPr>
          <w:trHeight w:val="621" w:hRule="atLeast"/>
          <w:jc w:val="center"/>
        </w:trPr>
        <w:tc>
          <w:tcPr>
            <w:tcW w:w="213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left"/>
              <w:rPr>
                <w:rFonts w:ascii="仿宋" w:hAnsi="仿宋" w:eastAsia="仿宋" w:cs="微软雅黑"/>
                <w:color w:val="010101"/>
                <w:szCs w:val="21"/>
              </w:rPr>
            </w:pPr>
            <w:r>
              <w:rPr>
                <w:rFonts w:hint="eastAsia" w:ascii="仿宋" w:hAnsi="仿宋" w:eastAsia="仿宋" w:cs="宋体"/>
                <w:color w:val="010101"/>
                <w:kern w:val="0"/>
                <w:szCs w:val="21"/>
              </w:rPr>
              <w:t>其中：基本支出</w:t>
            </w:r>
          </w:p>
        </w:tc>
        <w:tc>
          <w:tcPr>
            <w:tcW w:w="1740"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hangingChars="150"/>
              <w:jc w:val="center"/>
              <w:rPr>
                <w:rFonts w:ascii="仿宋" w:hAnsi="仿宋" w:eastAsia="仿宋" w:cs="微软雅黑"/>
                <w:color w:val="010101"/>
                <w:szCs w:val="21"/>
              </w:rPr>
            </w:pPr>
            <w:r>
              <w:rPr>
                <w:rFonts w:hint="eastAsia" w:ascii="仿宋" w:hAnsi="仿宋" w:eastAsia="仿宋" w:cs="微软雅黑"/>
                <w:color w:val="010101"/>
                <w:szCs w:val="21"/>
              </w:rPr>
              <w:t>1590</w:t>
            </w:r>
          </w:p>
        </w:tc>
        <w:tc>
          <w:tcPr>
            <w:tcW w:w="162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hangingChars="150"/>
              <w:jc w:val="center"/>
              <w:rPr>
                <w:rFonts w:ascii="仿宋" w:hAnsi="仿宋" w:eastAsia="仿宋" w:cs="微软雅黑"/>
                <w:color w:val="000000"/>
                <w:szCs w:val="21"/>
              </w:rPr>
            </w:pPr>
            <w:r>
              <w:rPr>
                <w:rFonts w:hint="eastAsia" w:ascii="仿宋" w:hAnsi="仿宋" w:eastAsia="仿宋" w:cs="微软雅黑"/>
                <w:color w:val="010101"/>
                <w:szCs w:val="21"/>
              </w:rPr>
              <w:t>883.75</w:t>
            </w:r>
          </w:p>
        </w:tc>
        <w:tc>
          <w:tcPr>
            <w:tcW w:w="155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right="126" w:hanging="315" w:hangingChars="150"/>
              <w:jc w:val="right"/>
              <w:rPr>
                <w:rFonts w:ascii="仿宋" w:hAnsi="仿宋" w:eastAsia="仿宋" w:cs="微软雅黑"/>
                <w:color w:val="010101"/>
                <w:szCs w:val="21"/>
              </w:rPr>
            </w:pPr>
            <w:r>
              <w:rPr>
                <w:rFonts w:hint="eastAsia" w:ascii="仿宋" w:hAnsi="仿宋" w:eastAsia="仿宋" w:cs="微软雅黑"/>
                <w:color w:val="010101"/>
                <w:szCs w:val="21"/>
              </w:rPr>
              <w:t>706.25</w:t>
            </w:r>
          </w:p>
        </w:tc>
        <w:tc>
          <w:tcPr>
            <w:tcW w:w="163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hangingChars="150"/>
              <w:jc w:val="center"/>
              <w:rPr>
                <w:rFonts w:ascii="仿宋" w:hAnsi="仿宋" w:eastAsia="仿宋" w:cs="微软雅黑"/>
                <w:color w:val="010101"/>
                <w:szCs w:val="21"/>
              </w:rPr>
            </w:pPr>
            <w:r>
              <w:rPr>
                <w:rFonts w:hint="eastAsia" w:ascii="仿宋" w:hAnsi="仿宋" w:eastAsia="仿宋" w:cs="微软雅黑"/>
                <w:color w:val="010101"/>
                <w:szCs w:val="21"/>
              </w:rPr>
              <w:t>79.92%</w:t>
            </w:r>
          </w:p>
        </w:tc>
      </w:tr>
      <w:tr>
        <w:tblPrEx>
          <w:tblCellMar>
            <w:top w:w="0" w:type="dxa"/>
            <w:left w:w="0" w:type="dxa"/>
            <w:bottom w:w="0" w:type="dxa"/>
            <w:right w:w="0" w:type="dxa"/>
          </w:tblCellMar>
        </w:tblPrEx>
        <w:trPr>
          <w:trHeight w:val="621" w:hRule="atLeast"/>
          <w:jc w:val="center"/>
        </w:trPr>
        <w:tc>
          <w:tcPr>
            <w:tcW w:w="2139" w:type="dxa"/>
            <w:tcBorders>
              <w:top w:val="nil"/>
              <w:left w:val="single" w:color="auto" w:sz="8" w:space="0"/>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left"/>
              <w:rPr>
                <w:rFonts w:ascii="仿宋" w:hAnsi="仿宋" w:eastAsia="仿宋" w:cs="微软雅黑"/>
                <w:color w:val="010101"/>
                <w:szCs w:val="21"/>
              </w:rPr>
            </w:pPr>
            <w:r>
              <w:rPr>
                <w:rFonts w:hint="eastAsia" w:ascii="仿宋" w:hAnsi="仿宋" w:eastAsia="仿宋" w:cs="宋体"/>
                <w:color w:val="010101"/>
                <w:kern w:val="0"/>
                <w:szCs w:val="21"/>
              </w:rPr>
              <w:t>其中：项目支出</w:t>
            </w:r>
          </w:p>
        </w:tc>
        <w:tc>
          <w:tcPr>
            <w:tcW w:w="1740"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ascii="仿宋" w:hAnsi="仿宋" w:eastAsia="仿宋" w:cs="微软雅黑"/>
                <w:color w:val="010101"/>
                <w:szCs w:val="21"/>
              </w:rPr>
            </w:pPr>
          </w:p>
        </w:tc>
        <w:tc>
          <w:tcPr>
            <w:tcW w:w="1627"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right="126" w:hanging="315" w:hangingChars="150"/>
              <w:jc w:val="right"/>
              <w:rPr>
                <w:rFonts w:ascii="仿宋" w:hAnsi="仿宋" w:eastAsia="仿宋" w:cs="微软雅黑"/>
                <w:color w:val="000000"/>
                <w:szCs w:val="21"/>
              </w:rPr>
            </w:pPr>
          </w:p>
        </w:tc>
        <w:tc>
          <w:tcPr>
            <w:tcW w:w="1556"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right="126" w:hanging="315"/>
              <w:jc w:val="right"/>
              <w:rPr>
                <w:rFonts w:ascii="仿宋" w:hAnsi="仿宋" w:eastAsia="仿宋" w:cs="微软雅黑"/>
                <w:color w:val="010101"/>
                <w:szCs w:val="21"/>
              </w:rPr>
            </w:pPr>
          </w:p>
        </w:tc>
        <w:tc>
          <w:tcPr>
            <w:tcW w:w="1636" w:type="dxa"/>
            <w:tcBorders>
              <w:top w:val="nil"/>
              <w:left w:val="nil"/>
              <w:bottom w:val="single" w:color="auto" w:sz="4"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微软雅黑"/>
                <w:color w:val="010101"/>
                <w:szCs w:val="21"/>
              </w:rPr>
            </w:pPr>
          </w:p>
        </w:tc>
      </w:tr>
    </w:tbl>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因2019年预算不完全，导致较上年变化较大。</w:t>
      </w: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2.财政预算整体支出使用范围、方向和内容</w:t>
      </w:r>
    </w:p>
    <w:tbl>
      <w:tblPr>
        <w:tblStyle w:val="5"/>
        <w:tblW w:w="0" w:type="auto"/>
        <w:jc w:val="center"/>
        <w:tblLayout w:type="fixed"/>
        <w:tblCellMar>
          <w:top w:w="0" w:type="dxa"/>
          <w:left w:w="0" w:type="dxa"/>
          <w:bottom w:w="0" w:type="dxa"/>
          <w:right w:w="0" w:type="dxa"/>
        </w:tblCellMar>
      </w:tblPr>
      <w:tblGrid>
        <w:gridCol w:w="2859"/>
        <w:gridCol w:w="1748"/>
        <w:gridCol w:w="1331"/>
        <w:gridCol w:w="2379"/>
      </w:tblGrid>
      <w:tr>
        <w:tblPrEx>
          <w:tblCellMar>
            <w:top w:w="0" w:type="dxa"/>
            <w:left w:w="0" w:type="dxa"/>
            <w:bottom w:w="0" w:type="dxa"/>
            <w:right w:w="0" w:type="dxa"/>
          </w:tblCellMar>
        </w:tblPrEx>
        <w:trPr>
          <w:trHeight w:val="276" w:hRule="atLeast"/>
          <w:jc w:val="center"/>
        </w:trPr>
        <w:tc>
          <w:tcPr>
            <w:tcW w:w="2859"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支出项目</w:t>
            </w:r>
          </w:p>
        </w:tc>
        <w:tc>
          <w:tcPr>
            <w:tcW w:w="174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基本支出</w:t>
            </w:r>
          </w:p>
        </w:tc>
        <w:tc>
          <w:tcPr>
            <w:tcW w:w="1331"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项目支出</w:t>
            </w:r>
          </w:p>
        </w:tc>
        <w:tc>
          <w:tcPr>
            <w:tcW w:w="237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合计</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工资福利支出</w:t>
            </w: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962.8</w:t>
            </w: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hangingChars="150"/>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962.8</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商品和服务支出</w:t>
            </w: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403.2</w:t>
            </w: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hangingChars="150"/>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403.2</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对个人和家庭的补助</w:t>
            </w: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224</w:t>
            </w: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hangingChars="150"/>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224</w:t>
            </w:r>
          </w:p>
        </w:tc>
      </w:tr>
      <w:tr>
        <w:tblPrEx>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74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331"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37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r>
      <w:tr>
        <w:tblPrEx>
          <w:tblCellMar>
            <w:top w:w="0" w:type="dxa"/>
            <w:left w:w="0" w:type="dxa"/>
            <w:bottom w:w="0" w:type="dxa"/>
            <w:right w:w="0" w:type="dxa"/>
          </w:tblCellMar>
        </w:tblPrEx>
        <w:trPr>
          <w:trHeight w:val="467" w:hRule="atLeast"/>
          <w:jc w:val="center"/>
        </w:trPr>
        <w:tc>
          <w:tcPr>
            <w:tcW w:w="2859"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合</w:t>
            </w:r>
            <w:r>
              <w:rPr>
                <w:rFonts w:hint="eastAsia" w:ascii="宋体" w:hAnsi="宋体" w:eastAsia="仿宋" w:cs="宋体"/>
                <w:bCs/>
                <w:color w:val="000000"/>
                <w:kern w:val="0"/>
                <w:szCs w:val="21"/>
              </w:rPr>
              <w:t> </w:t>
            </w:r>
            <w:r>
              <w:rPr>
                <w:rFonts w:hint="eastAsia" w:ascii="仿宋" w:hAnsi="仿宋" w:eastAsia="仿宋" w:cs="宋体"/>
                <w:bCs/>
                <w:color w:val="000000"/>
                <w:kern w:val="0"/>
                <w:szCs w:val="21"/>
              </w:rPr>
              <w:t>计</w:t>
            </w:r>
          </w:p>
        </w:tc>
        <w:tc>
          <w:tcPr>
            <w:tcW w:w="1748"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1590</w:t>
            </w:r>
          </w:p>
        </w:tc>
        <w:tc>
          <w:tcPr>
            <w:tcW w:w="1331"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379"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1590</w:t>
            </w:r>
          </w:p>
        </w:tc>
      </w:tr>
    </w:tbl>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rPr>
        <w:t>）年度收支决算情况</w:t>
      </w: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1.年度收入决算</w:t>
      </w:r>
    </w:p>
    <w:tbl>
      <w:tblPr>
        <w:tblStyle w:val="5"/>
        <w:tblW w:w="0" w:type="auto"/>
        <w:jc w:val="center"/>
        <w:tblLayout w:type="fixed"/>
        <w:tblCellMar>
          <w:top w:w="0" w:type="dxa"/>
          <w:left w:w="0" w:type="dxa"/>
          <w:bottom w:w="0" w:type="dxa"/>
          <w:right w:w="0" w:type="dxa"/>
        </w:tblCellMar>
      </w:tblPr>
      <w:tblGrid>
        <w:gridCol w:w="2063"/>
        <w:gridCol w:w="1693"/>
        <w:gridCol w:w="1820"/>
        <w:gridCol w:w="2264"/>
      </w:tblGrid>
      <w:tr>
        <w:tblPrEx>
          <w:tblCellMar>
            <w:top w:w="0" w:type="dxa"/>
            <w:left w:w="0" w:type="dxa"/>
            <w:bottom w:w="0" w:type="dxa"/>
            <w:right w:w="0" w:type="dxa"/>
          </w:tblCellMar>
        </w:tblPrEx>
        <w:trPr>
          <w:trHeight w:val="564" w:hRule="atLeast"/>
          <w:jc w:val="center"/>
        </w:trPr>
        <w:tc>
          <w:tcPr>
            <w:tcW w:w="206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收入来源</w:t>
            </w:r>
          </w:p>
        </w:tc>
        <w:tc>
          <w:tcPr>
            <w:tcW w:w="169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预算金额</w:t>
            </w:r>
          </w:p>
        </w:tc>
        <w:tc>
          <w:tcPr>
            <w:tcW w:w="1820"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决算金额</w:t>
            </w:r>
          </w:p>
        </w:tc>
        <w:tc>
          <w:tcPr>
            <w:tcW w:w="226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差额</w:t>
            </w:r>
          </w:p>
        </w:tc>
      </w:tr>
      <w:tr>
        <w:tblPrEx>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财政拨款收入</w:t>
            </w:r>
          </w:p>
        </w:tc>
        <w:tc>
          <w:tcPr>
            <w:tcW w:w="169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1590</w:t>
            </w:r>
          </w:p>
        </w:tc>
        <w:tc>
          <w:tcPr>
            <w:tcW w:w="1820"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1894.25</w:t>
            </w:r>
          </w:p>
        </w:tc>
        <w:tc>
          <w:tcPr>
            <w:tcW w:w="226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304.25</w:t>
            </w:r>
          </w:p>
        </w:tc>
      </w:tr>
      <w:tr>
        <w:tblPrEx>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69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820"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26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r>
    </w:tbl>
    <w:p>
      <w:pPr>
        <w:adjustRightInd w:val="0"/>
        <w:snapToGrid w:val="0"/>
        <w:spacing w:line="600" w:lineRule="exact"/>
        <w:ind w:left="638" w:leftChars="304" w:firstLine="160" w:firstLineChars="50"/>
        <w:rPr>
          <w:rFonts w:ascii="仿宋" w:hAnsi="仿宋" w:eastAsia="仿宋" w:cs="仿宋"/>
          <w:color w:val="1E1E1E"/>
          <w:sz w:val="32"/>
          <w:szCs w:val="32"/>
          <w:shd w:val="clear" w:color="auto" w:fill="FFFFFF"/>
        </w:rPr>
      </w:pPr>
      <w:r>
        <w:rPr>
          <w:rFonts w:ascii="仿宋" w:hAnsi="仿宋" w:eastAsia="仿宋" w:cs="仿宋"/>
          <w:color w:val="1E1E1E"/>
          <w:sz w:val="32"/>
          <w:szCs w:val="32"/>
          <w:shd w:val="clear" w:color="auto" w:fill="FFFFFF"/>
        </w:rPr>
        <w:t>因人员增加，</w:t>
      </w:r>
      <w:r>
        <w:rPr>
          <w:rFonts w:hint="eastAsia" w:ascii="仿宋" w:hAnsi="仿宋" w:eastAsia="仿宋" w:cs="仿宋"/>
          <w:color w:val="1E1E1E"/>
          <w:sz w:val="32"/>
          <w:szCs w:val="32"/>
          <w:shd w:val="clear" w:color="auto" w:fill="FFFFFF"/>
        </w:rPr>
        <w:t>上级财政经费拨款增加。</w:t>
      </w: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2.年度预算支出决算及结余</w:t>
      </w:r>
    </w:p>
    <w:tbl>
      <w:tblPr>
        <w:tblStyle w:val="5"/>
        <w:tblW w:w="7953" w:type="dxa"/>
        <w:tblInd w:w="185" w:type="dxa"/>
        <w:tblLayout w:type="fixed"/>
        <w:tblCellMar>
          <w:top w:w="0" w:type="dxa"/>
          <w:left w:w="0" w:type="dxa"/>
          <w:bottom w:w="0" w:type="dxa"/>
          <w:right w:w="0" w:type="dxa"/>
        </w:tblCellMar>
      </w:tblPr>
      <w:tblGrid>
        <w:gridCol w:w="1739"/>
        <w:gridCol w:w="2268"/>
        <w:gridCol w:w="1984"/>
        <w:gridCol w:w="1962"/>
      </w:tblGrid>
      <w:tr>
        <w:tblPrEx>
          <w:tblCellMar>
            <w:top w:w="0" w:type="dxa"/>
            <w:left w:w="0" w:type="dxa"/>
            <w:bottom w:w="0" w:type="dxa"/>
            <w:right w:w="0" w:type="dxa"/>
          </w:tblCellMar>
        </w:tblPrEx>
        <w:trPr>
          <w:trHeight w:val="517" w:hRule="atLeast"/>
        </w:trPr>
        <w:tc>
          <w:tcPr>
            <w:tcW w:w="1739"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预算支出类别</w:t>
            </w:r>
          </w:p>
        </w:tc>
        <w:tc>
          <w:tcPr>
            <w:tcW w:w="2268"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预算金额</w:t>
            </w:r>
          </w:p>
        </w:tc>
        <w:tc>
          <w:tcPr>
            <w:tcW w:w="1984"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决算金额</w:t>
            </w:r>
          </w:p>
        </w:tc>
        <w:tc>
          <w:tcPr>
            <w:tcW w:w="1962"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增减金额</w:t>
            </w: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基本支出</w:t>
            </w: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1590</w:t>
            </w: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1894.25</w:t>
            </w: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304.25</w:t>
            </w: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项目支出</w:t>
            </w: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r>
      <w:tr>
        <w:tblPrEx>
          <w:tblCellMar>
            <w:top w:w="0" w:type="dxa"/>
            <w:left w:w="0" w:type="dxa"/>
            <w:bottom w:w="0" w:type="dxa"/>
            <w:right w:w="0" w:type="dxa"/>
          </w:tblCellMar>
        </w:tblPrEx>
        <w:trPr>
          <w:trHeight w:val="523" w:hRule="atLeast"/>
        </w:trPr>
        <w:tc>
          <w:tcPr>
            <w:tcW w:w="1739"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226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98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962"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r>
      <w:tr>
        <w:tblPrEx>
          <w:tblCellMar>
            <w:top w:w="0" w:type="dxa"/>
            <w:left w:w="0" w:type="dxa"/>
            <w:bottom w:w="0" w:type="dxa"/>
            <w:right w:w="0" w:type="dxa"/>
          </w:tblCellMar>
        </w:tblPrEx>
        <w:trPr>
          <w:trHeight w:val="400" w:hRule="atLeast"/>
        </w:trPr>
        <w:tc>
          <w:tcPr>
            <w:tcW w:w="1739"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小计</w:t>
            </w:r>
          </w:p>
        </w:tc>
        <w:tc>
          <w:tcPr>
            <w:tcW w:w="2268"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hangingChars="150"/>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1590</w:t>
            </w:r>
          </w:p>
        </w:tc>
        <w:tc>
          <w:tcPr>
            <w:tcW w:w="198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hangingChars="150"/>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1894.25</w:t>
            </w:r>
          </w:p>
        </w:tc>
        <w:tc>
          <w:tcPr>
            <w:tcW w:w="1962"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hangingChars="150"/>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304.25</w:t>
            </w:r>
          </w:p>
        </w:tc>
      </w:tr>
    </w:tbl>
    <w:p>
      <w:pPr>
        <w:adjustRightInd w:val="0"/>
        <w:snapToGrid w:val="0"/>
        <w:spacing w:line="600" w:lineRule="exact"/>
        <w:ind w:left="638" w:leftChars="304" w:firstLine="160" w:firstLineChars="50"/>
        <w:rPr>
          <w:rFonts w:ascii="仿宋" w:hAnsi="仿宋" w:eastAsia="仿宋" w:cs="仿宋"/>
          <w:color w:val="1E1E1E"/>
          <w:sz w:val="32"/>
          <w:szCs w:val="32"/>
          <w:shd w:val="clear" w:color="auto" w:fill="FFFFFF"/>
        </w:rPr>
      </w:pPr>
      <w:r>
        <w:rPr>
          <w:rFonts w:ascii="仿宋" w:hAnsi="仿宋" w:eastAsia="仿宋" w:cs="仿宋"/>
          <w:color w:val="1E1E1E"/>
          <w:sz w:val="32"/>
          <w:szCs w:val="32"/>
          <w:shd w:val="clear" w:color="auto" w:fill="FFFFFF"/>
        </w:rPr>
        <w:t>因人员增加，</w:t>
      </w:r>
      <w:r>
        <w:rPr>
          <w:rFonts w:hint="eastAsia" w:ascii="仿宋" w:hAnsi="仿宋" w:eastAsia="仿宋" w:cs="仿宋"/>
          <w:color w:val="1E1E1E"/>
          <w:sz w:val="32"/>
          <w:szCs w:val="32"/>
          <w:shd w:val="clear" w:color="auto" w:fill="FFFFFF"/>
        </w:rPr>
        <w:t>上级财政经费拨款增加。</w:t>
      </w:r>
    </w:p>
    <w:p>
      <w:pPr>
        <w:adjustRightInd w:val="0"/>
        <w:snapToGrid w:val="0"/>
        <w:spacing w:line="600" w:lineRule="exact"/>
        <w:ind w:left="638" w:leftChars="304" w:firstLine="160" w:firstLineChars="50"/>
        <w:outlineLvl w:val="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部门整体支出管理及使用情况</w:t>
      </w:r>
    </w:p>
    <w:p>
      <w:pPr>
        <w:pStyle w:val="2"/>
        <w:widowControl/>
        <w:spacing w:before="0" w:beforeAutospacing="0" w:after="0" w:afterAutospacing="0" w:line="600" w:lineRule="exact"/>
        <w:ind w:firstLine="640" w:firstLineChars="200"/>
        <w:jc w:val="both"/>
        <w:rPr>
          <w:rFonts w:hint="default" w:ascii="仿宋" w:hAnsi="仿宋" w:eastAsia="仿宋"/>
          <w:b w:val="0"/>
          <w:kern w:val="2"/>
          <w:sz w:val="32"/>
          <w:szCs w:val="32"/>
        </w:rPr>
      </w:pPr>
      <w:bookmarkStart w:id="0" w:name="_Toc419142208"/>
      <w:r>
        <w:rPr>
          <w:rFonts w:ascii="仿宋" w:hAnsi="仿宋" w:eastAsia="仿宋"/>
          <w:b w:val="0"/>
          <w:kern w:val="2"/>
          <w:sz w:val="32"/>
          <w:szCs w:val="32"/>
        </w:rPr>
        <w:t>（一）基本支出管理</w:t>
      </w:r>
      <w:bookmarkEnd w:id="0"/>
    </w:p>
    <w:p>
      <w:pPr>
        <w:pStyle w:val="3"/>
        <w:widowControl/>
        <w:spacing w:before="0" w:beforeAutospacing="0" w:after="0" w:afterAutospacing="0" w:line="600" w:lineRule="exact"/>
        <w:ind w:firstLine="640" w:firstLineChars="200"/>
        <w:rPr>
          <w:rFonts w:hint="default" w:ascii="仿宋" w:hAnsi="仿宋" w:eastAsia="仿宋"/>
          <w:b w:val="0"/>
          <w:kern w:val="2"/>
          <w:sz w:val="32"/>
          <w:szCs w:val="32"/>
        </w:rPr>
      </w:pPr>
      <w:r>
        <w:rPr>
          <w:rFonts w:ascii="仿宋" w:hAnsi="仿宋" w:eastAsia="仿宋"/>
          <w:b w:val="0"/>
          <w:kern w:val="2"/>
          <w:sz w:val="32"/>
          <w:szCs w:val="32"/>
        </w:rPr>
        <w:t>1.基本支出总额使用和管理</w:t>
      </w:r>
    </w:p>
    <w:tbl>
      <w:tblPr>
        <w:tblStyle w:val="5"/>
        <w:tblW w:w="0" w:type="auto"/>
        <w:jc w:val="center"/>
        <w:tblLayout w:type="fixed"/>
        <w:tblCellMar>
          <w:top w:w="0" w:type="dxa"/>
          <w:left w:w="0" w:type="dxa"/>
          <w:bottom w:w="0" w:type="dxa"/>
          <w:right w:w="0" w:type="dxa"/>
        </w:tblCellMar>
      </w:tblPr>
      <w:tblGrid>
        <w:gridCol w:w="2392"/>
        <w:gridCol w:w="1666"/>
        <w:gridCol w:w="1604"/>
        <w:gridCol w:w="2438"/>
      </w:tblGrid>
      <w:tr>
        <w:tblPrEx>
          <w:tblCellMar>
            <w:top w:w="0" w:type="dxa"/>
            <w:left w:w="0" w:type="dxa"/>
            <w:bottom w:w="0" w:type="dxa"/>
            <w:right w:w="0" w:type="dxa"/>
          </w:tblCellMar>
        </w:tblPrEx>
        <w:trPr>
          <w:trHeight w:val="401" w:hRule="atLeast"/>
          <w:jc w:val="center"/>
        </w:trPr>
        <w:tc>
          <w:tcPr>
            <w:tcW w:w="2392"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宋体" w:hAnsi="宋体" w:eastAsia="仿宋" w:cs="宋体"/>
                <w:bCs/>
                <w:color w:val="000000"/>
                <w:kern w:val="0"/>
                <w:szCs w:val="21"/>
              </w:rPr>
              <w:t> </w:t>
            </w:r>
            <w:r>
              <w:rPr>
                <w:rFonts w:hint="eastAsia" w:ascii="仿宋" w:hAnsi="仿宋" w:eastAsia="仿宋" w:cs="宋体"/>
                <w:bCs/>
                <w:color w:val="000000"/>
                <w:kern w:val="0"/>
                <w:szCs w:val="21"/>
              </w:rPr>
              <w:t>预决算支出项目</w:t>
            </w:r>
          </w:p>
        </w:tc>
        <w:tc>
          <w:tcPr>
            <w:tcW w:w="166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预算金额</w:t>
            </w:r>
          </w:p>
        </w:tc>
        <w:tc>
          <w:tcPr>
            <w:tcW w:w="160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决算金额</w:t>
            </w:r>
          </w:p>
        </w:tc>
        <w:tc>
          <w:tcPr>
            <w:tcW w:w="243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节约/超支金额</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工资福利支出</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hangingChars="150"/>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962.8</w:t>
            </w: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915.05</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-47.75</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商品和服务支出</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hangingChars="150"/>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403.2</w:t>
            </w: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905.57</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502.37</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对个人和家庭的补助</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hangingChars="150"/>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224</w:t>
            </w: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36.27</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-187.73</w:t>
            </w:r>
          </w:p>
        </w:tc>
      </w:tr>
      <w:tr>
        <w:tblPrEx>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资本性支出</w:t>
            </w:r>
          </w:p>
        </w:tc>
        <w:tc>
          <w:tcPr>
            <w:tcW w:w="1666"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p>
        </w:tc>
        <w:tc>
          <w:tcPr>
            <w:tcW w:w="1604"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37.36</w:t>
            </w:r>
          </w:p>
        </w:tc>
        <w:tc>
          <w:tcPr>
            <w:tcW w:w="243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37.36</w:t>
            </w:r>
          </w:p>
        </w:tc>
      </w:tr>
      <w:tr>
        <w:tblPrEx>
          <w:tblCellMar>
            <w:top w:w="0" w:type="dxa"/>
            <w:left w:w="0" w:type="dxa"/>
            <w:bottom w:w="0" w:type="dxa"/>
            <w:right w:w="0" w:type="dxa"/>
          </w:tblCellMar>
        </w:tblPrEx>
        <w:trPr>
          <w:trHeight w:val="495" w:hRule="atLeast"/>
          <w:jc w:val="center"/>
        </w:trPr>
        <w:tc>
          <w:tcPr>
            <w:tcW w:w="2392"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合计</w:t>
            </w:r>
          </w:p>
        </w:tc>
        <w:tc>
          <w:tcPr>
            <w:tcW w:w="1666"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1590</w:t>
            </w:r>
          </w:p>
        </w:tc>
        <w:tc>
          <w:tcPr>
            <w:tcW w:w="1604"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1894.25</w:t>
            </w:r>
          </w:p>
        </w:tc>
        <w:tc>
          <w:tcPr>
            <w:tcW w:w="2438" w:type="dxa"/>
            <w:tcBorders>
              <w:top w:val="nil"/>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textAlignment w:val="center"/>
              <w:rPr>
                <w:rFonts w:ascii="仿宋" w:hAnsi="仿宋" w:eastAsia="仿宋" w:cs="宋体"/>
                <w:bCs/>
                <w:color w:val="000000"/>
                <w:kern w:val="0"/>
                <w:szCs w:val="21"/>
              </w:rPr>
            </w:pPr>
            <w:r>
              <w:rPr>
                <w:rFonts w:hint="eastAsia" w:ascii="仿宋" w:hAnsi="仿宋" w:eastAsia="仿宋" w:cs="宋体"/>
                <w:bCs/>
                <w:color w:val="000000"/>
                <w:kern w:val="0"/>
                <w:szCs w:val="21"/>
              </w:rPr>
              <w:t>304.25</w:t>
            </w:r>
          </w:p>
        </w:tc>
      </w:tr>
    </w:tbl>
    <w:p>
      <w:pPr>
        <w:adjustRightInd w:val="0"/>
        <w:snapToGrid w:val="0"/>
        <w:spacing w:line="600" w:lineRule="exact"/>
        <w:ind w:left="638" w:leftChars="304" w:firstLine="160" w:firstLineChars="50"/>
        <w:rPr>
          <w:rFonts w:ascii="仿宋" w:hAnsi="仿宋" w:eastAsia="仿宋"/>
          <w:sz w:val="32"/>
          <w:szCs w:val="32"/>
        </w:rPr>
      </w:pP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2.基本支出中各费用明细支出管理</w:t>
      </w: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（1）工资福利支出</w:t>
      </w:r>
    </w:p>
    <w:tbl>
      <w:tblPr>
        <w:tblStyle w:val="5"/>
        <w:tblW w:w="0" w:type="auto"/>
        <w:jc w:val="center"/>
        <w:tblLayout w:type="fixed"/>
        <w:tblCellMar>
          <w:top w:w="0" w:type="dxa"/>
          <w:left w:w="0" w:type="dxa"/>
          <w:bottom w:w="0" w:type="dxa"/>
          <w:right w:w="0" w:type="dxa"/>
        </w:tblCellMar>
      </w:tblPr>
      <w:tblGrid>
        <w:gridCol w:w="2431"/>
        <w:gridCol w:w="1134"/>
        <w:gridCol w:w="1134"/>
        <w:gridCol w:w="1417"/>
        <w:gridCol w:w="1664"/>
      </w:tblGrid>
      <w:tr>
        <w:tblPrEx>
          <w:tblCellMar>
            <w:top w:w="0" w:type="dxa"/>
            <w:left w:w="0" w:type="dxa"/>
            <w:bottom w:w="0" w:type="dxa"/>
            <w:right w:w="0" w:type="dxa"/>
          </w:tblCellMar>
        </w:tblPrEx>
        <w:trPr>
          <w:trHeight w:val="888" w:hRule="atLeast"/>
          <w:jc w:val="center"/>
        </w:trPr>
        <w:tc>
          <w:tcPr>
            <w:tcW w:w="2431"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费用项目</w:t>
            </w:r>
          </w:p>
        </w:tc>
        <w:tc>
          <w:tcPr>
            <w:tcW w:w="113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预算金额</w:t>
            </w:r>
          </w:p>
        </w:tc>
        <w:tc>
          <w:tcPr>
            <w:tcW w:w="113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决算金额</w:t>
            </w:r>
          </w:p>
        </w:tc>
        <w:tc>
          <w:tcPr>
            <w:tcW w:w="1417"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节约/超支金额</w:t>
            </w:r>
          </w:p>
        </w:tc>
        <w:tc>
          <w:tcPr>
            <w:tcW w:w="1664" w:type="dxa"/>
            <w:tcBorders>
              <w:top w:val="single" w:color="000000" w:sz="8" w:space="0"/>
              <w:left w:val="nil"/>
              <w:bottom w:val="single" w:color="000000" w:sz="8" w:space="0"/>
              <w:right w:val="single" w:color="000000" w:sz="8" w:space="0"/>
            </w:tcBorders>
            <w:shd w:val="clear" w:color="auto" w:fill="D9D9D9"/>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节约/超支率</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基本工资</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289.46 </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30" w:hanging="330" w:hangingChars="150"/>
              <w:jc w:val="right"/>
              <w:textAlignment w:val="center"/>
              <w:rPr>
                <w:rFonts w:ascii="宋体" w:hAnsi="宋体" w:eastAsia="宋体" w:cs="宋体"/>
                <w:color w:val="000000"/>
                <w:sz w:val="22"/>
              </w:rPr>
            </w:pPr>
            <w:r>
              <w:rPr>
                <w:rFonts w:hint="eastAsia" w:ascii="宋体" w:hAnsi="宋体" w:eastAsia="宋体" w:cs="宋体"/>
                <w:color w:val="000000"/>
                <w:kern w:val="0"/>
                <w:sz w:val="22"/>
              </w:rPr>
              <w:t>325.06</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35.6</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12.3%</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津贴补贴</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185.3 </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30" w:hanging="330" w:hangingChars="150"/>
              <w:jc w:val="center"/>
              <w:textAlignment w:val="center"/>
              <w:rPr>
                <w:rFonts w:ascii="宋体" w:hAnsi="宋体" w:eastAsia="宋体" w:cs="宋体"/>
                <w:color w:val="000000"/>
                <w:sz w:val="22"/>
              </w:rPr>
            </w:pPr>
            <w:r>
              <w:rPr>
                <w:rFonts w:hint="eastAsia" w:ascii="宋体" w:hAnsi="宋体" w:eastAsia="宋体" w:cs="宋体"/>
                <w:color w:val="000000"/>
                <w:kern w:val="0"/>
                <w:sz w:val="22"/>
              </w:rPr>
              <w:t>170.61</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-14.69</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-7.93%</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奖金</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79.38</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30" w:hanging="330" w:hangingChars="150"/>
              <w:jc w:val="center"/>
              <w:textAlignment w:val="center"/>
              <w:rPr>
                <w:rFonts w:ascii="宋体" w:hAnsi="宋体" w:eastAsia="宋体" w:cs="宋体"/>
                <w:color w:val="000000"/>
                <w:sz w:val="22"/>
              </w:rPr>
            </w:pPr>
            <w:r>
              <w:rPr>
                <w:rFonts w:hint="eastAsia" w:ascii="宋体" w:hAnsi="宋体" w:eastAsia="宋体" w:cs="宋体"/>
                <w:color w:val="000000"/>
                <w:kern w:val="0"/>
                <w:sz w:val="22"/>
              </w:rPr>
              <w:t>204.53</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125.15</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157.66%</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伙食补助费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30" w:hanging="330" w:hangingChars="150"/>
              <w:jc w:val="center"/>
              <w:textAlignment w:val="center"/>
              <w:rPr>
                <w:rFonts w:ascii="宋体" w:hAnsi="宋体" w:eastAsia="宋体" w:cs="宋体"/>
                <w:color w:val="000000"/>
                <w:sz w:val="22"/>
              </w:rPr>
            </w:pPr>
            <w:r>
              <w:rPr>
                <w:rFonts w:hint="eastAsia" w:ascii="宋体" w:hAnsi="宋体" w:eastAsia="宋体" w:cs="宋体"/>
                <w:color w:val="000000"/>
                <w:kern w:val="0"/>
                <w:sz w:val="22"/>
              </w:rPr>
              <w:t>1.04</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90"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绩效工资</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251.1</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30" w:hanging="330" w:hangingChars="150"/>
              <w:jc w:val="center"/>
              <w:textAlignment w:val="center"/>
              <w:rPr>
                <w:rFonts w:ascii="宋体" w:hAnsi="宋体" w:eastAsia="宋体" w:cs="宋体"/>
                <w:color w:val="000000"/>
                <w:sz w:val="22"/>
              </w:rPr>
            </w:pPr>
            <w:r>
              <w:rPr>
                <w:rFonts w:hint="eastAsia" w:ascii="宋体" w:hAnsi="宋体" w:eastAsia="宋体" w:cs="宋体"/>
                <w:color w:val="000000"/>
                <w:kern w:val="0"/>
                <w:sz w:val="22"/>
              </w:rPr>
              <w:t>34.68</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-216.42</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-86.19%</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机关事业单位基本养老保险缴费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75.35 </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30" w:hanging="330" w:hangingChars="150"/>
              <w:jc w:val="center"/>
              <w:textAlignment w:val="center"/>
              <w:rPr>
                <w:rFonts w:ascii="宋体" w:hAnsi="宋体" w:eastAsia="宋体" w:cs="宋体"/>
                <w:color w:val="000000"/>
                <w:sz w:val="22"/>
              </w:rPr>
            </w:pPr>
            <w:r>
              <w:rPr>
                <w:rFonts w:hint="eastAsia" w:ascii="宋体" w:hAnsi="宋体" w:eastAsia="宋体" w:cs="宋体"/>
                <w:color w:val="000000"/>
                <w:kern w:val="0"/>
                <w:sz w:val="22"/>
              </w:rPr>
              <w:t>78.5</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3.15</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4.18%</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职业年金缴费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职工基本医疗保险缴费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13.98</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30" w:hanging="330" w:hangingChars="150"/>
              <w:jc w:val="center"/>
              <w:textAlignment w:val="center"/>
              <w:rPr>
                <w:rFonts w:ascii="宋体" w:hAnsi="宋体" w:eastAsia="宋体" w:cs="宋体"/>
                <w:color w:val="000000"/>
                <w:sz w:val="22"/>
              </w:rPr>
            </w:pPr>
            <w:r>
              <w:rPr>
                <w:rFonts w:hint="eastAsia" w:ascii="宋体" w:hAnsi="宋体" w:eastAsia="宋体" w:cs="宋体"/>
                <w:color w:val="000000"/>
                <w:kern w:val="0"/>
                <w:sz w:val="22"/>
              </w:rPr>
              <w:t>40.38</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26.4</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18.88%</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公务员医疗补助缴费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其他社会保障缴费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8.97 </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30" w:hanging="330" w:hangingChars="150"/>
              <w:jc w:val="center"/>
              <w:textAlignment w:val="center"/>
              <w:rPr>
                <w:rFonts w:ascii="宋体" w:hAnsi="宋体" w:eastAsia="宋体" w:cs="宋体"/>
                <w:color w:val="000000"/>
                <w:sz w:val="22"/>
              </w:rPr>
            </w:pPr>
            <w:r>
              <w:rPr>
                <w:rFonts w:hint="eastAsia" w:ascii="宋体" w:hAnsi="宋体" w:eastAsia="宋体" w:cs="宋体"/>
                <w:color w:val="000000"/>
                <w:kern w:val="0"/>
                <w:sz w:val="22"/>
              </w:rPr>
              <w:t>7.46</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-1.51</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-16.83%</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住房公积金</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59.26</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-59.26</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医疗费</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57" w:hRule="atLeast"/>
          <w:jc w:val="center"/>
        </w:trPr>
        <w:tc>
          <w:tcPr>
            <w:tcW w:w="2431"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其他工资福利支出</w:t>
            </w: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13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52.79</w:t>
            </w:r>
          </w:p>
        </w:tc>
        <w:tc>
          <w:tcPr>
            <w:tcW w:w="1417"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52.79</w:t>
            </w:r>
          </w:p>
        </w:tc>
        <w:tc>
          <w:tcPr>
            <w:tcW w:w="1664"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411" w:hRule="atLeast"/>
          <w:jc w:val="center"/>
        </w:trPr>
        <w:tc>
          <w:tcPr>
            <w:tcW w:w="2431"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合计</w:t>
            </w:r>
          </w:p>
        </w:tc>
        <w:tc>
          <w:tcPr>
            <w:tcW w:w="113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962.8</w:t>
            </w:r>
          </w:p>
        </w:tc>
        <w:tc>
          <w:tcPr>
            <w:tcW w:w="113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915.05</w:t>
            </w:r>
          </w:p>
        </w:tc>
        <w:tc>
          <w:tcPr>
            <w:tcW w:w="1417"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-47.75</w:t>
            </w:r>
          </w:p>
        </w:tc>
        <w:tc>
          <w:tcPr>
            <w:tcW w:w="1664"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-4.96%</w:t>
            </w:r>
          </w:p>
        </w:tc>
      </w:tr>
    </w:tbl>
    <w:p>
      <w:pPr>
        <w:adjustRightInd w:val="0"/>
        <w:snapToGrid w:val="0"/>
        <w:spacing w:line="600" w:lineRule="exact"/>
        <w:ind w:left="638" w:leftChars="304" w:firstLine="160" w:firstLineChars="50"/>
        <w:rPr>
          <w:rFonts w:ascii="仿宋" w:hAnsi="仿宋" w:eastAsia="仿宋" w:cs="仿宋"/>
          <w:color w:val="1E1E1E"/>
          <w:sz w:val="32"/>
          <w:szCs w:val="32"/>
          <w:shd w:val="clear" w:color="auto" w:fill="FFFFFF"/>
        </w:rPr>
      </w:pPr>
      <w:r>
        <w:rPr>
          <w:rFonts w:ascii="仿宋" w:hAnsi="仿宋" w:eastAsia="仿宋" w:cs="仿宋"/>
          <w:color w:val="1E1E1E"/>
          <w:sz w:val="32"/>
          <w:szCs w:val="32"/>
          <w:shd w:val="clear" w:color="auto" w:fill="FFFFFF"/>
        </w:rPr>
        <w:t>工资福利支出控制在预算内</w:t>
      </w:r>
      <w:r>
        <w:rPr>
          <w:rFonts w:hint="eastAsia" w:ascii="仿宋" w:hAnsi="仿宋" w:eastAsia="仿宋" w:cs="仿宋"/>
          <w:color w:val="1E1E1E"/>
          <w:sz w:val="32"/>
          <w:szCs w:val="32"/>
          <w:shd w:val="clear" w:color="auto" w:fill="FFFFFF"/>
        </w:rPr>
        <w:t>。</w:t>
      </w: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（2）商品和服务支出</w:t>
      </w:r>
    </w:p>
    <w:tbl>
      <w:tblPr>
        <w:tblStyle w:val="5"/>
        <w:tblW w:w="0" w:type="auto"/>
        <w:jc w:val="center"/>
        <w:tblLayout w:type="fixed"/>
        <w:tblCellMar>
          <w:top w:w="0" w:type="dxa"/>
          <w:left w:w="0" w:type="dxa"/>
          <w:bottom w:w="0" w:type="dxa"/>
          <w:right w:w="0" w:type="dxa"/>
        </w:tblCellMar>
      </w:tblPr>
      <w:tblGrid>
        <w:gridCol w:w="2133"/>
        <w:gridCol w:w="1398"/>
        <w:gridCol w:w="1537"/>
        <w:gridCol w:w="1429"/>
        <w:gridCol w:w="1643"/>
      </w:tblGrid>
      <w:tr>
        <w:tblPrEx>
          <w:tblCellMar>
            <w:top w:w="0" w:type="dxa"/>
            <w:left w:w="0" w:type="dxa"/>
            <w:bottom w:w="0" w:type="dxa"/>
            <w:right w:w="0" w:type="dxa"/>
          </w:tblCellMar>
        </w:tblPrEx>
        <w:trPr>
          <w:trHeight w:val="343" w:hRule="atLeast"/>
          <w:tblHeader/>
          <w:jc w:val="center"/>
        </w:trPr>
        <w:tc>
          <w:tcPr>
            <w:tcW w:w="213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bookmarkStart w:id="1" w:name="_GoBack"/>
            <w:bookmarkEnd w:id="1"/>
            <w:r>
              <w:rPr>
                <w:rFonts w:hint="eastAsia" w:ascii="仿宋" w:hAnsi="仿宋" w:eastAsia="仿宋" w:cs="宋体"/>
                <w:color w:val="010101"/>
                <w:kern w:val="0"/>
                <w:szCs w:val="21"/>
              </w:rPr>
              <w:t>项目</w:t>
            </w:r>
          </w:p>
        </w:tc>
        <w:tc>
          <w:tcPr>
            <w:tcW w:w="139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预算金额</w:t>
            </w:r>
          </w:p>
        </w:tc>
        <w:tc>
          <w:tcPr>
            <w:tcW w:w="1537"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决算金额</w:t>
            </w:r>
          </w:p>
        </w:tc>
        <w:tc>
          <w:tcPr>
            <w:tcW w:w="142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增减额</w:t>
            </w:r>
          </w:p>
        </w:tc>
        <w:tc>
          <w:tcPr>
            <w:tcW w:w="164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增减率</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办公费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18 </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28.52</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-10.52</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-58.4%</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印刷费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12.3 </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25.84</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13.54</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110%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咨询费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0.08</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-0.08</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手续费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电费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18.36</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8.36</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83.6%</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邮电费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0.11</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-0.39</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-78%</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取暖费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物业管理费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差旅费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137.77</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127.77</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1277.7%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因公出国（境）费用</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维修（护）费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2.73</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0.73</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36.5%</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租赁费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会议费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17.65</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12.65</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253%</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培训费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1.22</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-1.18</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-49.17%</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公务接待费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-16</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专用材料费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2.07</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2.07</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被装购置费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专用燃料费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劳务费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8.02</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-6.02</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-301%</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委托业务费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0.2</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0.2</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工会经费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30</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11</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57.895</w:t>
            </w:r>
          </w:p>
        </w:tc>
      </w:tr>
      <w:tr>
        <w:tblPrEx>
          <w:tblCellMar>
            <w:top w:w="0" w:type="dxa"/>
            <w:left w:w="0" w:type="dxa"/>
            <w:bottom w:w="0" w:type="dxa"/>
            <w:right w:w="0" w:type="dxa"/>
          </w:tblCellMar>
        </w:tblPrEx>
        <w:trPr>
          <w:trHeight w:val="579"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福利费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公务用车运行维护费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4.86</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-1.54</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-24%</w:t>
            </w:r>
          </w:p>
        </w:tc>
      </w:tr>
      <w:tr>
        <w:tblPrEx>
          <w:tblCellMar>
            <w:top w:w="0" w:type="dxa"/>
            <w:left w:w="0" w:type="dxa"/>
            <w:bottom w:w="0" w:type="dxa"/>
            <w:right w:w="0" w:type="dxa"/>
          </w:tblCellMar>
        </w:tblPrEx>
        <w:trPr>
          <w:trHeight w:val="90"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其他交通费</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26.42 </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27.32</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0.9</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3.4%</w:t>
            </w: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税金及附加费用</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其他商品和服务支出</w:t>
            </w:r>
          </w:p>
        </w:tc>
        <w:tc>
          <w:tcPr>
            <w:tcW w:w="1398" w:type="dxa"/>
            <w:tcBorders>
              <w:top w:val="nil"/>
              <w:left w:val="nil"/>
              <w:bottom w:val="single" w:color="auto" w:sz="8" w:space="0"/>
              <w:right w:val="single" w:color="auto" w:sz="8" w:space="0"/>
            </w:tcBorders>
            <w:tcMar>
              <w:left w:w="108" w:type="dxa"/>
              <w:right w:w="108"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273.18 </w:t>
            </w:r>
          </w:p>
        </w:tc>
        <w:tc>
          <w:tcPr>
            <w:tcW w:w="1537"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600.82</w:t>
            </w:r>
          </w:p>
        </w:tc>
        <w:tc>
          <w:tcPr>
            <w:tcW w:w="1429"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327.64</w:t>
            </w:r>
          </w:p>
        </w:tc>
        <w:tc>
          <w:tcPr>
            <w:tcW w:w="1643" w:type="dxa"/>
            <w:tcBorders>
              <w:top w:val="nil"/>
              <w:left w:val="nil"/>
              <w:bottom w:val="single" w:color="auto" w:sz="8" w:space="0"/>
              <w:right w:val="single" w:color="auto" w:sz="8" w:space="0"/>
            </w:tcBorders>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119.94%</w:t>
            </w:r>
          </w:p>
        </w:tc>
      </w:tr>
      <w:tr>
        <w:tblPrEx>
          <w:tblCellMar>
            <w:top w:w="0" w:type="dxa"/>
            <w:left w:w="0" w:type="dxa"/>
            <w:bottom w:w="0" w:type="dxa"/>
            <w:right w:w="0" w:type="dxa"/>
          </w:tblCellMar>
        </w:tblPrEx>
        <w:trPr>
          <w:trHeight w:val="359" w:hRule="atLeast"/>
          <w:jc w:val="center"/>
        </w:trPr>
        <w:tc>
          <w:tcPr>
            <w:tcW w:w="2133" w:type="dxa"/>
            <w:tcBorders>
              <w:top w:val="nil"/>
              <w:left w:val="single" w:color="auto" w:sz="8" w:space="0"/>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合计</w:t>
            </w:r>
          </w:p>
        </w:tc>
        <w:tc>
          <w:tcPr>
            <w:tcW w:w="1398"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403.2</w:t>
            </w:r>
          </w:p>
        </w:tc>
        <w:tc>
          <w:tcPr>
            <w:tcW w:w="1537"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905.57</w:t>
            </w:r>
          </w:p>
        </w:tc>
        <w:tc>
          <w:tcPr>
            <w:tcW w:w="1429"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502.37</w:t>
            </w:r>
          </w:p>
        </w:tc>
        <w:tc>
          <w:tcPr>
            <w:tcW w:w="1643" w:type="dxa"/>
            <w:tcBorders>
              <w:top w:val="nil"/>
              <w:left w:val="nil"/>
              <w:bottom w:val="single" w:color="auto" w:sz="8" w:space="0"/>
              <w:right w:val="single" w:color="auto" w:sz="8" w:space="0"/>
            </w:tcBorders>
            <w:shd w:val="clear" w:color="auto" w:fill="C0C0C0"/>
            <w:tcMar>
              <w:left w:w="108" w:type="dxa"/>
              <w:right w:w="108"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124.6%</w:t>
            </w:r>
          </w:p>
        </w:tc>
      </w:tr>
    </w:tbl>
    <w:p>
      <w:pPr>
        <w:adjustRightInd w:val="0"/>
        <w:snapToGrid w:val="0"/>
        <w:spacing w:line="600" w:lineRule="exact"/>
        <w:ind w:firstLine="640" w:firstLineChars="200"/>
        <w:rPr>
          <w:rFonts w:ascii="仿宋" w:hAnsi="仿宋" w:eastAsia="仿宋"/>
          <w:sz w:val="32"/>
          <w:szCs w:val="32"/>
        </w:rPr>
      </w:pPr>
      <w:r>
        <w:rPr>
          <w:rFonts w:ascii="仿宋" w:hAnsi="仿宋" w:eastAsia="仿宋" w:cs="仿宋"/>
          <w:color w:val="1E1E1E"/>
          <w:sz w:val="32"/>
          <w:szCs w:val="32"/>
          <w:shd w:val="clear" w:color="auto" w:fill="FFFFFF"/>
        </w:rPr>
        <w:t>办公费因包括政府采购支出，决算金额大幅度增加；印刷费因工作需要，决算支出增加；差旅费因信访、禁毒出差支出，决算金额大幅度增加；</w:t>
      </w:r>
      <w:r>
        <w:rPr>
          <w:rFonts w:hint="eastAsia" w:ascii="仿宋" w:hAnsi="仿宋" w:eastAsia="仿宋" w:cs="仿宋"/>
          <w:color w:val="1E1E1E"/>
          <w:sz w:val="32"/>
          <w:szCs w:val="32"/>
          <w:shd w:val="clear" w:color="auto" w:fill="FFFFFF"/>
        </w:rPr>
        <w:t>会议费因工作需要，</w:t>
      </w:r>
      <w:r>
        <w:rPr>
          <w:rFonts w:ascii="仿宋" w:hAnsi="仿宋" w:eastAsia="仿宋" w:cs="仿宋"/>
          <w:color w:val="1E1E1E"/>
          <w:sz w:val="32"/>
          <w:szCs w:val="32"/>
          <w:shd w:val="clear" w:color="auto" w:fill="FFFFFF"/>
        </w:rPr>
        <w:t>决算支出增加</w:t>
      </w:r>
      <w:r>
        <w:rPr>
          <w:rFonts w:hint="eastAsia" w:ascii="仿宋" w:hAnsi="仿宋" w:eastAsia="仿宋" w:cs="仿宋"/>
          <w:color w:val="1E1E1E"/>
          <w:sz w:val="32"/>
          <w:szCs w:val="32"/>
          <w:shd w:val="clear" w:color="auto" w:fill="FFFFFF"/>
        </w:rPr>
        <w:t>；公务接待费由于支出未报账，决算金额大幅减少；</w:t>
      </w:r>
      <w:r>
        <w:rPr>
          <w:rFonts w:ascii="仿宋" w:hAnsi="仿宋" w:eastAsia="仿宋" w:cs="仿宋"/>
          <w:color w:val="1E1E1E"/>
          <w:sz w:val="32"/>
          <w:szCs w:val="32"/>
          <w:shd w:val="clear" w:color="auto" w:fill="FFFFFF"/>
        </w:rPr>
        <w:t>劳务费因包含环境卫生开支，决算金额增加</w:t>
      </w:r>
      <w:r>
        <w:rPr>
          <w:rFonts w:hint="eastAsia" w:ascii="仿宋" w:hAnsi="仿宋" w:eastAsia="仿宋" w:cs="仿宋"/>
          <w:color w:val="1E1E1E"/>
          <w:sz w:val="32"/>
          <w:szCs w:val="32"/>
          <w:shd w:val="clear" w:color="auto" w:fill="FFFFFF"/>
        </w:rPr>
        <w:t>；工会经费由于人员增加，</w:t>
      </w:r>
      <w:r>
        <w:rPr>
          <w:rFonts w:ascii="仿宋" w:hAnsi="仿宋" w:eastAsia="仿宋" w:cs="仿宋"/>
          <w:color w:val="1E1E1E"/>
          <w:sz w:val="32"/>
          <w:szCs w:val="32"/>
          <w:shd w:val="clear" w:color="auto" w:fill="FFFFFF"/>
        </w:rPr>
        <w:t>决算金额增加</w:t>
      </w:r>
      <w:r>
        <w:rPr>
          <w:rFonts w:hint="eastAsia" w:ascii="仿宋" w:hAnsi="仿宋" w:eastAsia="仿宋" w:cs="仿宋"/>
          <w:color w:val="1E1E1E"/>
          <w:sz w:val="32"/>
          <w:szCs w:val="32"/>
          <w:shd w:val="clear" w:color="auto" w:fill="FFFFFF"/>
        </w:rPr>
        <w:t>。</w:t>
      </w: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（3）对个人和家庭的补助</w:t>
      </w:r>
    </w:p>
    <w:tbl>
      <w:tblPr>
        <w:tblStyle w:val="5"/>
        <w:tblW w:w="8364" w:type="dxa"/>
        <w:tblInd w:w="0" w:type="dxa"/>
        <w:tblLayout w:type="fixed"/>
        <w:tblCellMar>
          <w:top w:w="0" w:type="dxa"/>
          <w:left w:w="0" w:type="dxa"/>
          <w:bottom w:w="0" w:type="dxa"/>
          <w:right w:w="0" w:type="dxa"/>
        </w:tblCellMar>
      </w:tblPr>
      <w:tblGrid>
        <w:gridCol w:w="1816"/>
        <w:gridCol w:w="1538"/>
        <w:gridCol w:w="1560"/>
        <w:gridCol w:w="1875"/>
        <w:gridCol w:w="1575"/>
      </w:tblGrid>
      <w:tr>
        <w:tblPrEx>
          <w:tblCellMar>
            <w:top w:w="0" w:type="dxa"/>
            <w:left w:w="0" w:type="dxa"/>
            <w:bottom w:w="0" w:type="dxa"/>
            <w:right w:w="0" w:type="dxa"/>
          </w:tblCellMar>
        </w:tblPrEx>
        <w:trPr>
          <w:trHeight w:val="464" w:hRule="atLeast"/>
        </w:trPr>
        <w:tc>
          <w:tcPr>
            <w:tcW w:w="1816"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rPr>
                <w:rFonts w:ascii="仿宋" w:hAnsi="仿宋" w:eastAsia="仿宋" w:cs="宋体"/>
                <w:color w:val="010101"/>
                <w:kern w:val="0"/>
                <w:szCs w:val="21"/>
              </w:rPr>
            </w:pPr>
            <w:r>
              <w:rPr>
                <w:rFonts w:hint="eastAsia" w:ascii="仿宋" w:hAnsi="仿宋" w:eastAsia="仿宋" w:cs="宋体"/>
                <w:color w:val="010101"/>
                <w:kern w:val="0"/>
                <w:szCs w:val="21"/>
              </w:rPr>
              <w:t>支出项目</w:t>
            </w:r>
          </w:p>
        </w:tc>
        <w:tc>
          <w:tcPr>
            <w:tcW w:w="1538"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rPr>
                <w:rFonts w:ascii="仿宋" w:hAnsi="仿宋" w:eastAsia="仿宋" w:cs="宋体"/>
                <w:color w:val="010101"/>
                <w:kern w:val="0"/>
                <w:szCs w:val="21"/>
              </w:rPr>
            </w:pPr>
            <w:r>
              <w:rPr>
                <w:rFonts w:hint="eastAsia" w:ascii="仿宋" w:hAnsi="仿宋" w:eastAsia="仿宋" w:cs="宋体"/>
                <w:color w:val="010101"/>
                <w:kern w:val="0"/>
                <w:szCs w:val="21"/>
              </w:rPr>
              <w:t>预算金额</w:t>
            </w:r>
          </w:p>
        </w:tc>
        <w:tc>
          <w:tcPr>
            <w:tcW w:w="1560"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rPr>
                <w:rFonts w:ascii="仿宋" w:hAnsi="仿宋" w:eastAsia="仿宋" w:cs="宋体"/>
                <w:color w:val="010101"/>
                <w:kern w:val="0"/>
                <w:szCs w:val="21"/>
              </w:rPr>
            </w:pPr>
            <w:r>
              <w:rPr>
                <w:rFonts w:hint="eastAsia" w:ascii="仿宋" w:hAnsi="仿宋" w:eastAsia="仿宋" w:cs="宋体"/>
                <w:color w:val="010101"/>
                <w:kern w:val="0"/>
                <w:szCs w:val="21"/>
              </w:rPr>
              <w:t>决算金额</w:t>
            </w:r>
          </w:p>
        </w:tc>
        <w:tc>
          <w:tcPr>
            <w:tcW w:w="1875"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rPr>
                <w:rFonts w:ascii="仿宋" w:hAnsi="仿宋" w:eastAsia="仿宋" w:cs="宋体"/>
                <w:color w:val="010101"/>
                <w:kern w:val="0"/>
                <w:szCs w:val="21"/>
              </w:rPr>
            </w:pPr>
            <w:r>
              <w:rPr>
                <w:rFonts w:hint="eastAsia" w:ascii="仿宋" w:hAnsi="仿宋" w:eastAsia="仿宋" w:cs="宋体"/>
                <w:color w:val="010101"/>
                <w:kern w:val="0"/>
                <w:szCs w:val="21"/>
              </w:rPr>
              <w:t>结余/超支金额</w:t>
            </w:r>
          </w:p>
        </w:tc>
        <w:tc>
          <w:tcPr>
            <w:tcW w:w="1575" w:type="dxa"/>
            <w:tcBorders>
              <w:top w:val="single" w:color="000000" w:sz="8" w:space="0"/>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rPr>
                <w:rFonts w:ascii="仿宋" w:hAnsi="仿宋" w:eastAsia="仿宋" w:cs="宋体"/>
                <w:color w:val="010101"/>
                <w:kern w:val="0"/>
                <w:szCs w:val="21"/>
              </w:rPr>
            </w:pPr>
            <w:r>
              <w:rPr>
                <w:rFonts w:hint="eastAsia" w:ascii="仿宋" w:hAnsi="仿宋" w:eastAsia="仿宋" w:cs="宋体"/>
                <w:color w:val="010101"/>
                <w:kern w:val="0"/>
                <w:szCs w:val="21"/>
              </w:rPr>
              <w:t>结余/超支率</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离休费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退休费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退职（役）费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抚恤金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24.5</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宋体" w:hAnsi="宋体" w:eastAsia="宋体" w:cs="宋体"/>
                <w:color w:val="000000"/>
                <w:kern w:val="0"/>
                <w:sz w:val="20"/>
                <w:szCs w:val="20"/>
              </w:rPr>
              <w:t>-24.5</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生活补助</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38.75</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27.63</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-11.12</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-28.7%</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救济费</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医疗费补助</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助学金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hangingChars="150"/>
              <w:jc w:val="center"/>
              <w:rPr>
                <w:rFonts w:ascii="仿宋" w:hAnsi="仿宋" w:eastAsia="仿宋" w:cs="宋体"/>
                <w:color w:val="010101"/>
                <w:kern w:val="0"/>
                <w:szCs w:val="21"/>
              </w:rPr>
            </w:pPr>
            <w:r>
              <w:rPr>
                <w:rFonts w:hint="eastAsia" w:ascii="仿宋" w:hAnsi="仿宋" w:eastAsia="仿宋" w:cs="宋体"/>
                <w:color w:val="010101"/>
                <w:kern w:val="0"/>
                <w:szCs w:val="21"/>
              </w:rPr>
              <w:t>1</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奖励金</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1.25</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hangingChars="150"/>
              <w:jc w:val="center"/>
              <w:rPr>
                <w:rFonts w:ascii="仿宋" w:hAnsi="仿宋" w:eastAsia="仿宋" w:cs="宋体"/>
                <w:color w:val="010101"/>
                <w:kern w:val="0"/>
                <w:szCs w:val="21"/>
              </w:rPr>
            </w:pPr>
            <w:r>
              <w:rPr>
                <w:rFonts w:hint="eastAsia" w:ascii="仿宋" w:hAnsi="仿宋" w:eastAsia="仿宋" w:cs="宋体"/>
                <w:color w:val="010101"/>
                <w:kern w:val="0"/>
                <w:szCs w:val="21"/>
              </w:rPr>
              <w:t>1.25</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个人农业生产补贴</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13" w:hRule="atLeast"/>
        </w:trPr>
        <w:tc>
          <w:tcPr>
            <w:tcW w:w="1816" w:type="dxa"/>
            <w:tcBorders>
              <w:top w:val="nil"/>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其他对个人和家庭的补助支出</w:t>
            </w:r>
          </w:p>
        </w:tc>
        <w:tc>
          <w:tcPr>
            <w:tcW w:w="1538"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ind w:left="300" w:hanging="300" w:hangingChars="15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151.75 </w:t>
            </w:r>
          </w:p>
        </w:tc>
        <w:tc>
          <w:tcPr>
            <w:tcW w:w="1560"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6.39</w:t>
            </w:r>
          </w:p>
        </w:tc>
        <w:tc>
          <w:tcPr>
            <w:tcW w:w="18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-145.36</w:t>
            </w:r>
          </w:p>
        </w:tc>
        <w:tc>
          <w:tcPr>
            <w:tcW w:w="1575" w:type="dxa"/>
            <w:tcBorders>
              <w:top w:val="nil"/>
              <w:left w:val="nil"/>
              <w:bottom w:val="single" w:color="000000" w:sz="8" w:space="0"/>
              <w:right w:val="single" w:color="000000" w:sz="8" w:space="0"/>
            </w:tcBorders>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-95.79%</w:t>
            </w:r>
          </w:p>
        </w:tc>
      </w:tr>
      <w:tr>
        <w:tblPrEx>
          <w:tblCellMar>
            <w:top w:w="0" w:type="dxa"/>
            <w:left w:w="0" w:type="dxa"/>
            <w:bottom w:w="0" w:type="dxa"/>
            <w:right w:w="0" w:type="dxa"/>
          </w:tblCellMar>
        </w:tblPrEx>
        <w:trPr>
          <w:trHeight w:val="451" w:hRule="atLeast"/>
        </w:trPr>
        <w:tc>
          <w:tcPr>
            <w:tcW w:w="1816" w:type="dxa"/>
            <w:tcBorders>
              <w:top w:val="nil"/>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合计</w:t>
            </w:r>
          </w:p>
        </w:tc>
        <w:tc>
          <w:tcPr>
            <w:tcW w:w="1538"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224</w:t>
            </w:r>
          </w:p>
        </w:tc>
        <w:tc>
          <w:tcPr>
            <w:tcW w:w="1560"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36.27</w:t>
            </w:r>
          </w:p>
        </w:tc>
        <w:tc>
          <w:tcPr>
            <w:tcW w:w="1875"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-187.73</w:t>
            </w:r>
          </w:p>
        </w:tc>
        <w:tc>
          <w:tcPr>
            <w:tcW w:w="1575" w:type="dxa"/>
            <w:tcBorders>
              <w:top w:val="nil"/>
              <w:left w:val="nil"/>
              <w:bottom w:val="single" w:color="000000" w:sz="8" w:space="0"/>
              <w:right w:val="single" w:color="000000" w:sz="8" w:space="0"/>
            </w:tcBorders>
            <w:shd w:val="clear" w:color="auto" w:fill="C0C0C0"/>
            <w:tcMar>
              <w:top w:w="15" w:type="dxa"/>
              <w:left w:w="15" w:type="dxa"/>
              <w:bottom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-83.8%</w:t>
            </w:r>
          </w:p>
        </w:tc>
      </w:tr>
    </w:tbl>
    <w:p>
      <w:pPr>
        <w:adjustRightInd w:val="0"/>
        <w:snapToGrid w:val="0"/>
        <w:spacing w:line="600" w:lineRule="exact"/>
        <w:ind w:firstLine="640" w:firstLineChars="200"/>
        <w:rPr>
          <w:rFonts w:ascii="仿宋" w:hAnsi="仿宋" w:eastAsia="仿宋"/>
          <w:sz w:val="32"/>
          <w:szCs w:val="32"/>
        </w:rPr>
      </w:pPr>
      <w:r>
        <w:rPr>
          <w:rFonts w:ascii="仿宋" w:hAnsi="仿宋" w:eastAsia="仿宋" w:cs="仿宋"/>
          <w:color w:val="1E1E1E"/>
          <w:sz w:val="32"/>
          <w:szCs w:val="32"/>
          <w:shd w:val="clear" w:color="auto" w:fill="FFFFFF"/>
        </w:rPr>
        <w:t>抚恤金为退休人员遗属补贴</w:t>
      </w:r>
      <w:r>
        <w:rPr>
          <w:rFonts w:hint="eastAsia" w:ascii="仿宋" w:hAnsi="仿宋" w:eastAsia="仿宋" w:cs="仿宋"/>
          <w:color w:val="1E1E1E"/>
          <w:sz w:val="32"/>
          <w:szCs w:val="32"/>
          <w:shd w:val="clear" w:color="auto" w:fill="FFFFFF"/>
        </w:rPr>
        <w:t>。</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（二）“三公经费”支出使用和管理</w:t>
      </w: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1.“三公经费”预算执行</w:t>
      </w:r>
    </w:p>
    <w:tbl>
      <w:tblPr>
        <w:tblStyle w:val="5"/>
        <w:tblW w:w="0" w:type="auto"/>
        <w:jc w:val="center"/>
        <w:tblLayout w:type="fixed"/>
        <w:tblCellMar>
          <w:top w:w="0" w:type="dxa"/>
          <w:left w:w="0" w:type="dxa"/>
          <w:bottom w:w="0" w:type="dxa"/>
          <w:right w:w="0" w:type="dxa"/>
        </w:tblCellMar>
      </w:tblPr>
      <w:tblGrid>
        <w:gridCol w:w="1632"/>
        <w:gridCol w:w="1065"/>
        <w:gridCol w:w="1125"/>
        <w:gridCol w:w="1005"/>
        <w:gridCol w:w="1170"/>
        <w:gridCol w:w="1149"/>
        <w:gridCol w:w="1290"/>
      </w:tblGrid>
      <w:tr>
        <w:tblPrEx>
          <w:tblCellMar>
            <w:top w:w="0" w:type="dxa"/>
            <w:left w:w="0" w:type="dxa"/>
            <w:bottom w:w="0" w:type="dxa"/>
            <w:right w:w="0" w:type="dxa"/>
          </w:tblCellMar>
        </w:tblPrEx>
        <w:trPr>
          <w:trHeight w:val="364" w:hRule="atLeast"/>
          <w:jc w:val="center"/>
        </w:trPr>
        <w:tc>
          <w:tcPr>
            <w:tcW w:w="1632" w:type="dxa"/>
            <w:vMerge w:val="restart"/>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费用项目</w:t>
            </w:r>
          </w:p>
        </w:tc>
        <w:tc>
          <w:tcPr>
            <w:tcW w:w="2190"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本年预算</w:t>
            </w:r>
          </w:p>
        </w:tc>
        <w:tc>
          <w:tcPr>
            <w:tcW w:w="2175"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本年决算</w:t>
            </w:r>
          </w:p>
        </w:tc>
        <w:tc>
          <w:tcPr>
            <w:tcW w:w="2439" w:type="dxa"/>
            <w:gridSpan w:val="2"/>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结余/超支</w:t>
            </w:r>
          </w:p>
        </w:tc>
      </w:tr>
      <w:tr>
        <w:tblPrEx>
          <w:tblCellMar>
            <w:top w:w="0" w:type="dxa"/>
            <w:left w:w="0" w:type="dxa"/>
            <w:bottom w:w="0" w:type="dxa"/>
            <w:right w:w="0" w:type="dxa"/>
          </w:tblCellMar>
        </w:tblPrEx>
        <w:trPr>
          <w:trHeight w:val="580" w:hRule="atLeast"/>
          <w:jc w:val="center"/>
        </w:trPr>
        <w:tc>
          <w:tcPr>
            <w:tcW w:w="1632" w:type="dxa"/>
            <w:vMerge w:val="continue"/>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06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基本支出</w:t>
            </w:r>
          </w:p>
        </w:tc>
        <w:tc>
          <w:tcPr>
            <w:tcW w:w="112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项目支出</w:t>
            </w:r>
          </w:p>
        </w:tc>
        <w:tc>
          <w:tcPr>
            <w:tcW w:w="100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基本支出</w:t>
            </w:r>
          </w:p>
        </w:tc>
        <w:tc>
          <w:tcPr>
            <w:tcW w:w="1170"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项目支出</w:t>
            </w:r>
          </w:p>
        </w:tc>
        <w:tc>
          <w:tcPr>
            <w:tcW w:w="1149"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基本支出</w:t>
            </w:r>
          </w:p>
        </w:tc>
        <w:tc>
          <w:tcPr>
            <w:tcW w:w="1290"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项目支出</w:t>
            </w: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公务接待费</w:t>
            </w:r>
          </w:p>
        </w:tc>
        <w:tc>
          <w:tcPr>
            <w:tcW w:w="106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16</w:t>
            </w:r>
          </w:p>
        </w:tc>
        <w:tc>
          <w:tcPr>
            <w:tcW w:w="112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00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w:t>
            </w:r>
          </w:p>
        </w:tc>
        <w:tc>
          <w:tcPr>
            <w:tcW w:w="117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49"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16</w:t>
            </w:r>
          </w:p>
        </w:tc>
        <w:tc>
          <w:tcPr>
            <w:tcW w:w="129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00"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公车运行维护费</w:t>
            </w:r>
          </w:p>
        </w:tc>
        <w:tc>
          <w:tcPr>
            <w:tcW w:w="106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6.4</w:t>
            </w:r>
          </w:p>
        </w:tc>
        <w:tc>
          <w:tcPr>
            <w:tcW w:w="112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00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4.86</w:t>
            </w:r>
          </w:p>
        </w:tc>
        <w:tc>
          <w:tcPr>
            <w:tcW w:w="117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49"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1.54</w:t>
            </w:r>
          </w:p>
        </w:tc>
        <w:tc>
          <w:tcPr>
            <w:tcW w:w="129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430"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公务车购置费</w:t>
            </w:r>
          </w:p>
        </w:tc>
        <w:tc>
          <w:tcPr>
            <w:tcW w:w="106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2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00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7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49"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29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因公出国费用</w:t>
            </w:r>
          </w:p>
        </w:tc>
        <w:tc>
          <w:tcPr>
            <w:tcW w:w="106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2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00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7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49"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29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64" w:hRule="atLeast"/>
          <w:jc w:val="center"/>
        </w:trPr>
        <w:tc>
          <w:tcPr>
            <w:tcW w:w="1632"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06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2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005"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7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49"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290" w:type="dxa"/>
            <w:tcBorders>
              <w:top w:val="nil"/>
              <w:left w:val="nil"/>
              <w:bottom w:val="single" w:color="000000" w:sz="8" w:space="0"/>
              <w:right w:val="single" w:color="000000" w:sz="8" w:space="0"/>
            </w:tcBorders>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99" w:hRule="atLeast"/>
          <w:jc w:val="center"/>
        </w:trPr>
        <w:tc>
          <w:tcPr>
            <w:tcW w:w="1632" w:type="dxa"/>
            <w:tcBorders>
              <w:top w:val="nil"/>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合计</w:t>
            </w:r>
          </w:p>
        </w:tc>
        <w:tc>
          <w:tcPr>
            <w:tcW w:w="1065" w:type="dxa"/>
            <w:tcBorders>
              <w:top w:val="nil"/>
              <w:left w:val="nil"/>
              <w:bottom w:val="single" w:color="000000" w:sz="8" w:space="0"/>
              <w:right w:val="single" w:color="000000" w:sz="8" w:space="0"/>
            </w:tcBorders>
            <w:shd w:val="clear" w:color="auto" w:fill="D9D9D9"/>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22.4</w:t>
            </w:r>
          </w:p>
        </w:tc>
        <w:tc>
          <w:tcPr>
            <w:tcW w:w="1125" w:type="dxa"/>
            <w:tcBorders>
              <w:top w:val="nil"/>
              <w:left w:val="nil"/>
              <w:bottom w:val="single" w:color="000000" w:sz="8" w:space="0"/>
              <w:right w:val="single" w:color="000000" w:sz="8" w:space="0"/>
            </w:tcBorders>
            <w:shd w:val="clear" w:color="auto" w:fill="D9D9D9"/>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005" w:type="dxa"/>
            <w:tcBorders>
              <w:top w:val="nil"/>
              <w:left w:val="nil"/>
              <w:bottom w:val="single" w:color="000000" w:sz="8" w:space="0"/>
              <w:right w:val="single" w:color="000000" w:sz="8" w:space="0"/>
            </w:tcBorders>
            <w:shd w:val="clear" w:color="auto" w:fill="D9D9D9"/>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4.86</w:t>
            </w:r>
          </w:p>
        </w:tc>
        <w:tc>
          <w:tcPr>
            <w:tcW w:w="1170" w:type="dxa"/>
            <w:tcBorders>
              <w:top w:val="nil"/>
              <w:left w:val="nil"/>
              <w:bottom w:val="single" w:color="000000" w:sz="8" w:space="0"/>
              <w:right w:val="single" w:color="000000" w:sz="8" w:space="0"/>
            </w:tcBorders>
            <w:shd w:val="clear" w:color="auto" w:fill="D9D9D9"/>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c>
          <w:tcPr>
            <w:tcW w:w="1149" w:type="dxa"/>
            <w:tcBorders>
              <w:top w:val="nil"/>
              <w:left w:val="nil"/>
              <w:bottom w:val="single" w:color="000000" w:sz="8" w:space="0"/>
              <w:right w:val="single" w:color="000000" w:sz="8" w:space="0"/>
            </w:tcBorders>
            <w:shd w:val="clear" w:color="auto" w:fill="D9D9D9"/>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17.54</w:t>
            </w:r>
          </w:p>
        </w:tc>
        <w:tc>
          <w:tcPr>
            <w:tcW w:w="1290" w:type="dxa"/>
            <w:tcBorders>
              <w:top w:val="nil"/>
              <w:left w:val="nil"/>
              <w:bottom w:val="single" w:color="000000" w:sz="8" w:space="0"/>
              <w:right w:val="single" w:color="000000" w:sz="8" w:space="0"/>
            </w:tcBorders>
            <w:shd w:val="clear" w:color="auto" w:fill="D9D9D9"/>
            <w:tcMar>
              <w:left w:w="15" w:type="dxa"/>
              <w:right w:w="15" w:type="dxa"/>
            </w:tcMar>
          </w:tcPr>
          <w:p>
            <w:pPr>
              <w:widowControl/>
              <w:snapToGrid w:val="0"/>
              <w:spacing w:line="600" w:lineRule="exact"/>
              <w:ind w:left="315" w:hanging="315"/>
              <w:jc w:val="center"/>
              <w:rPr>
                <w:rFonts w:ascii="仿宋" w:hAnsi="仿宋" w:eastAsia="仿宋" w:cs="宋体"/>
                <w:color w:val="010101"/>
                <w:kern w:val="0"/>
                <w:szCs w:val="21"/>
              </w:rPr>
            </w:pPr>
          </w:p>
        </w:tc>
      </w:tr>
    </w:tbl>
    <w:p>
      <w:pPr>
        <w:adjustRightInd w:val="0"/>
        <w:snapToGrid w:val="0"/>
        <w:spacing w:line="600" w:lineRule="exact"/>
        <w:ind w:firstLine="640" w:firstLineChars="200"/>
        <w:rPr>
          <w:rFonts w:ascii="仿宋" w:hAnsi="仿宋" w:eastAsia="仿宋"/>
          <w:sz w:val="32"/>
          <w:szCs w:val="32"/>
        </w:rPr>
      </w:pPr>
      <w:r>
        <w:rPr>
          <w:rFonts w:ascii="仿宋" w:hAnsi="仿宋" w:eastAsia="仿宋" w:cs="仿宋"/>
          <w:color w:val="1E1E1E"/>
          <w:sz w:val="32"/>
          <w:szCs w:val="32"/>
          <w:shd w:val="clear" w:color="auto" w:fill="FFFFFF"/>
        </w:rPr>
        <w:t>因</w:t>
      </w:r>
      <w:r>
        <w:rPr>
          <w:rFonts w:hint="eastAsia" w:ascii="仿宋" w:hAnsi="仿宋" w:eastAsia="仿宋" w:cs="仿宋"/>
          <w:color w:val="1E1E1E"/>
          <w:sz w:val="32"/>
          <w:szCs w:val="32"/>
          <w:shd w:val="clear" w:color="auto" w:fill="FFFFFF"/>
        </w:rPr>
        <w:t>公务接待费未及时报账，决算数为零。</w:t>
      </w:r>
      <w:r>
        <w:rPr>
          <w:rFonts w:ascii="仿宋" w:hAnsi="仿宋" w:eastAsia="仿宋" w:cs="仿宋"/>
          <w:color w:val="1E1E1E"/>
          <w:sz w:val="32"/>
          <w:szCs w:val="32"/>
          <w:shd w:val="clear" w:color="auto" w:fill="FFFFFF"/>
        </w:rPr>
        <w:t>加大对公务接待及公车运行维护开支的管控力度，</w:t>
      </w:r>
      <w:r>
        <w:rPr>
          <w:rFonts w:hint="eastAsia" w:ascii="仿宋" w:hAnsi="仿宋" w:eastAsia="仿宋" w:cs="仿宋"/>
          <w:color w:val="1E1E1E"/>
          <w:sz w:val="32"/>
          <w:szCs w:val="32"/>
          <w:shd w:val="clear" w:color="auto" w:fill="FFFFFF"/>
        </w:rPr>
        <w:t>公车运行维护费</w:t>
      </w:r>
      <w:r>
        <w:rPr>
          <w:rFonts w:ascii="仿宋" w:hAnsi="仿宋" w:eastAsia="仿宋" w:cs="仿宋"/>
          <w:color w:val="1E1E1E"/>
          <w:sz w:val="32"/>
          <w:szCs w:val="32"/>
          <w:shd w:val="clear" w:color="auto" w:fill="FFFFFF"/>
        </w:rPr>
        <w:t>开支得到有效控制</w:t>
      </w:r>
      <w:r>
        <w:rPr>
          <w:rFonts w:hint="eastAsia" w:ascii="仿宋" w:hAnsi="仿宋" w:eastAsia="仿宋" w:cs="仿宋"/>
          <w:color w:val="1E1E1E"/>
          <w:sz w:val="32"/>
          <w:szCs w:val="32"/>
          <w:shd w:val="clear" w:color="auto" w:fill="FFFFFF"/>
        </w:rPr>
        <w:t>。</w:t>
      </w:r>
    </w:p>
    <w:p>
      <w:pPr>
        <w:adjustRightInd w:val="0"/>
        <w:snapToGrid w:val="0"/>
        <w:spacing w:line="600" w:lineRule="exact"/>
        <w:ind w:left="638" w:leftChars="304" w:firstLine="160" w:firstLineChars="50"/>
        <w:rPr>
          <w:rFonts w:ascii="仿宋" w:hAnsi="仿宋" w:eastAsia="仿宋"/>
          <w:sz w:val="32"/>
          <w:szCs w:val="32"/>
        </w:rPr>
      </w:pPr>
      <w:r>
        <w:rPr>
          <w:rFonts w:hint="eastAsia" w:ascii="仿宋" w:hAnsi="仿宋" w:eastAsia="仿宋"/>
          <w:sz w:val="32"/>
          <w:szCs w:val="32"/>
        </w:rPr>
        <w:t>2.“三公经费”与上年度比较</w:t>
      </w:r>
    </w:p>
    <w:tbl>
      <w:tblPr>
        <w:tblStyle w:val="5"/>
        <w:tblW w:w="0" w:type="auto"/>
        <w:jc w:val="center"/>
        <w:tblLayout w:type="fixed"/>
        <w:tblCellMar>
          <w:top w:w="0" w:type="dxa"/>
          <w:left w:w="0" w:type="dxa"/>
          <w:bottom w:w="0" w:type="dxa"/>
          <w:right w:w="0" w:type="dxa"/>
        </w:tblCellMar>
      </w:tblPr>
      <w:tblGrid>
        <w:gridCol w:w="1795"/>
        <w:gridCol w:w="1179"/>
        <w:gridCol w:w="1255"/>
        <w:gridCol w:w="1249"/>
        <w:gridCol w:w="2477"/>
      </w:tblGrid>
      <w:tr>
        <w:tblPrEx>
          <w:tblCellMar>
            <w:top w:w="0" w:type="dxa"/>
            <w:left w:w="0" w:type="dxa"/>
            <w:bottom w:w="0" w:type="dxa"/>
            <w:right w:w="0" w:type="dxa"/>
          </w:tblCellMar>
        </w:tblPrEx>
        <w:trPr>
          <w:trHeight w:val="331" w:hRule="atLeast"/>
          <w:jc w:val="center"/>
        </w:trPr>
        <w:tc>
          <w:tcPr>
            <w:tcW w:w="1795" w:type="dxa"/>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费用项目</w:t>
            </w:r>
          </w:p>
        </w:tc>
        <w:tc>
          <w:tcPr>
            <w:tcW w:w="1179"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本年金额</w:t>
            </w:r>
          </w:p>
        </w:tc>
        <w:tc>
          <w:tcPr>
            <w:tcW w:w="1255"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上年金额</w:t>
            </w:r>
          </w:p>
        </w:tc>
        <w:tc>
          <w:tcPr>
            <w:tcW w:w="1249"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增减额</w:t>
            </w:r>
          </w:p>
        </w:tc>
        <w:tc>
          <w:tcPr>
            <w:tcW w:w="2477" w:type="dxa"/>
            <w:tcBorders>
              <w:top w:val="single" w:color="000000" w:sz="8" w:space="0"/>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增减率%</w:t>
            </w: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公务接待费</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0</w:t>
            </w: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9.84</w:t>
            </w: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9.84</w:t>
            </w: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100%</w:t>
            </w: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公车运行维护费</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4.86</w:t>
            </w: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6.62</w:t>
            </w: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1.86</w:t>
            </w: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39%</w:t>
            </w: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公务车辆购置费</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因公出国(境)费用</w:t>
            </w: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31" w:hRule="atLeast"/>
          <w:jc w:val="center"/>
        </w:trPr>
        <w:tc>
          <w:tcPr>
            <w:tcW w:w="1795" w:type="dxa"/>
            <w:tcBorders>
              <w:top w:val="nil"/>
              <w:left w:val="single" w:color="000000" w:sz="8" w:space="0"/>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17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255"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1249"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c>
          <w:tcPr>
            <w:tcW w:w="2477" w:type="dxa"/>
            <w:tcBorders>
              <w:top w:val="nil"/>
              <w:left w:val="nil"/>
              <w:bottom w:val="single" w:color="000000" w:sz="8" w:space="0"/>
              <w:right w:val="single" w:color="000000" w:sz="8" w:space="0"/>
            </w:tcBorders>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r>
        <w:tblPrEx>
          <w:tblCellMar>
            <w:top w:w="0" w:type="dxa"/>
            <w:left w:w="0" w:type="dxa"/>
            <w:bottom w:w="0" w:type="dxa"/>
            <w:right w:w="0" w:type="dxa"/>
          </w:tblCellMar>
        </w:tblPrEx>
        <w:trPr>
          <w:trHeight w:val="369" w:hRule="atLeast"/>
          <w:jc w:val="center"/>
        </w:trPr>
        <w:tc>
          <w:tcPr>
            <w:tcW w:w="1795" w:type="dxa"/>
            <w:tcBorders>
              <w:top w:val="nil"/>
              <w:left w:val="single" w:color="000000" w:sz="8" w:space="0"/>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合计</w:t>
            </w:r>
          </w:p>
        </w:tc>
        <w:tc>
          <w:tcPr>
            <w:tcW w:w="1179"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4.86</w:t>
            </w:r>
          </w:p>
        </w:tc>
        <w:tc>
          <w:tcPr>
            <w:tcW w:w="1255"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16.46</w:t>
            </w:r>
          </w:p>
        </w:tc>
        <w:tc>
          <w:tcPr>
            <w:tcW w:w="1249"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r>
              <w:rPr>
                <w:rFonts w:hint="eastAsia" w:ascii="仿宋" w:hAnsi="仿宋" w:eastAsia="仿宋" w:cs="宋体"/>
                <w:color w:val="010101"/>
                <w:kern w:val="0"/>
                <w:szCs w:val="21"/>
              </w:rPr>
              <w:t>11.7</w:t>
            </w:r>
          </w:p>
        </w:tc>
        <w:tc>
          <w:tcPr>
            <w:tcW w:w="2477" w:type="dxa"/>
            <w:tcBorders>
              <w:top w:val="nil"/>
              <w:left w:val="nil"/>
              <w:bottom w:val="single" w:color="000000" w:sz="8" w:space="0"/>
              <w:right w:val="single" w:color="000000" w:sz="8" w:space="0"/>
            </w:tcBorders>
            <w:shd w:val="clear" w:color="auto" w:fill="D9D9D9"/>
            <w:tcMar>
              <w:left w:w="15" w:type="dxa"/>
              <w:right w:w="15" w:type="dxa"/>
            </w:tcMar>
            <w:vAlign w:val="center"/>
          </w:tcPr>
          <w:p>
            <w:pPr>
              <w:widowControl/>
              <w:snapToGrid w:val="0"/>
              <w:spacing w:line="600" w:lineRule="exact"/>
              <w:ind w:left="315" w:hanging="315"/>
              <w:jc w:val="center"/>
              <w:rPr>
                <w:rFonts w:ascii="仿宋" w:hAnsi="仿宋" w:eastAsia="仿宋" w:cs="宋体"/>
                <w:color w:val="010101"/>
                <w:kern w:val="0"/>
                <w:szCs w:val="21"/>
              </w:rPr>
            </w:pPr>
          </w:p>
        </w:tc>
      </w:tr>
    </w:tbl>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本年公务接待费在2021年报账，所以本年公务接待费为零，较上一年度，更进一步控制公车运行维护开支，费用大幅度降低。</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（三）专项支出管理</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本单位无专项资金。</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四、部门整体支出绩效评价</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通过对部门整体支出情况的概述和实际支出情况的分析，部门整体支出绩效目标管理情况评价。</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如下：</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（一）经济性评价</w:t>
      </w:r>
    </w:p>
    <w:p>
      <w:pPr>
        <w:adjustRightInd w:val="0"/>
        <w:snapToGrid w:val="0"/>
        <w:spacing w:line="600" w:lineRule="exact"/>
        <w:ind w:firstLine="640" w:firstLineChars="200"/>
        <w:rPr>
          <w:rFonts w:ascii="微软雅黑" w:hAnsi="微软雅黑" w:eastAsia="微软雅黑" w:cs="微软雅黑"/>
          <w:color w:val="1E1E1E"/>
          <w:sz w:val="22"/>
        </w:rPr>
      </w:pPr>
      <w:r>
        <w:rPr>
          <w:rFonts w:hint="eastAsia" w:ascii="仿宋" w:hAnsi="仿宋" w:eastAsia="仿宋"/>
          <w:sz w:val="32"/>
          <w:szCs w:val="32"/>
        </w:rPr>
        <w:t>按照厉行节俭的要求，严格控制各项开支，2020年三公经费预算总额较上年有所减少，在预算</w:t>
      </w:r>
      <w:r>
        <w:rPr>
          <w:rFonts w:hint="eastAsia" w:ascii="仿宋" w:hAnsi="仿宋" w:eastAsia="仿宋" w:cs="仿宋"/>
          <w:color w:val="1E1E1E"/>
          <w:kern w:val="0"/>
          <w:sz w:val="32"/>
          <w:szCs w:val="32"/>
          <w:shd w:val="clear" w:color="auto" w:fill="FFFFFF"/>
        </w:rPr>
        <w:t>执行方面，三公经费支出总额严格控制在预算总额内。</w:t>
      </w:r>
    </w:p>
    <w:p>
      <w:pPr>
        <w:widowControl/>
        <w:numPr>
          <w:ilvl w:val="0"/>
          <w:numId w:val="1"/>
        </w:numPr>
        <w:shd w:val="clear" w:color="auto" w:fill="FFFFFF"/>
        <w:spacing w:line="600" w:lineRule="atLeast"/>
        <w:ind w:firstLine="320"/>
        <w:jc w:val="left"/>
        <w:rPr>
          <w:rFonts w:ascii="仿宋" w:hAnsi="仿宋" w:eastAsia="仿宋" w:cs="仿宋"/>
          <w:color w:val="1E1E1E"/>
          <w:kern w:val="0"/>
          <w:sz w:val="32"/>
          <w:szCs w:val="32"/>
          <w:shd w:val="clear" w:color="auto" w:fill="FFFFFF"/>
        </w:rPr>
      </w:pPr>
      <w:r>
        <w:rPr>
          <w:rFonts w:hint="eastAsia" w:ascii="仿宋" w:hAnsi="仿宋" w:eastAsia="仿宋" w:cs="仿宋"/>
          <w:color w:val="1E1E1E"/>
          <w:kern w:val="0"/>
          <w:sz w:val="32"/>
          <w:szCs w:val="32"/>
          <w:shd w:val="clear" w:color="auto" w:fill="FFFFFF"/>
        </w:rPr>
        <w:t>行政效能评价</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预算效能较理想，制度执行总体较为有效，但仍需进一步强化。</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b/>
          <w:bCs/>
          <w:sz w:val="32"/>
          <w:szCs w:val="32"/>
        </w:rPr>
        <w:t>加强组织保障全。</w:t>
      </w:r>
      <w:r>
        <w:rPr>
          <w:rFonts w:hint="eastAsia" w:ascii="仿宋" w:hAnsi="仿宋" w:eastAsia="仿宋"/>
          <w:sz w:val="32"/>
          <w:szCs w:val="32"/>
        </w:rPr>
        <w:t>成立了专项工作领导小组，建立动态管理机制。成立了财政预算绩效管理、财务会审、内部控制等工作领导小组，每月召开专题会议，实行定期汇报制，定期向党委汇报财政预算执行情况，进行动态调整。</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b/>
          <w:bCs/>
          <w:sz w:val="32"/>
          <w:szCs w:val="32"/>
        </w:rPr>
        <w:t>制度完善落实处。</w:t>
      </w:r>
      <w:r>
        <w:rPr>
          <w:rFonts w:hint="eastAsia" w:ascii="仿宋" w:hAnsi="仿宋" w:eastAsia="仿宋"/>
          <w:sz w:val="32"/>
          <w:szCs w:val="32"/>
        </w:rPr>
        <w:t>制定了财务管理制度，完善监督管理机制。制定了20项财务管理制度和管理办法，对机关经费管理、收入支出管理、票据管理、政府采购管理、预算管理、公务接待管理、固定资产管理、财务保密管理等方面明确了规定，进行了详细说明，在原有基础上更进一步强化了内部管理。</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b/>
          <w:bCs/>
          <w:sz w:val="32"/>
          <w:szCs w:val="32"/>
        </w:rPr>
        <w:t>行政管理效能高。</w:t>
      </w:r>
      <w:r>
        <w:rPr>
          <w:rFonts w:hint="eastAsia" w:ascii="仿宋" w:hAnsi="仿宋" w:eastAsia="仿宋"/>
          <w:sz w:val="32"/>
          <w:szCs w:val="32"/>
        </w:rPr>
        <w:t>严格按照年初预算，有序执行预算，充分保障了单位正常运转，提高了行政运行效率，有效控制了行政运行成本。</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（三）社会公众满意度</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结合财政工作职能职责，积极主动作为，全力配合全镇各项工作，落实各项扶贫资金及民生惠民资金。以高度的服务意识文明接待，积极开展财务信息窗口工作，坚持“最多跑一次”，做到一件事情一次办、服务效能高、业务办结效率高，切实提高了群众满意度，增强了人民群众获得感、幸福</w:t>
      </w:r>
    </w:p>
    <w:p>
      <w:pPr>
        <w:adjustRightInd w:val="0"/>
        <w:snapToGrid w:val="0"/>
        <w:spacing w:line="600" w:lineRule="exact"/>
        <w:rPr>
          <w:rFonts w:ascii="仿宋" w:hAnsi="仿宋" w:eastAsia="仿宋"/>
          <w:sz w:val="32"/>
          <w:szCs w:val="32"/>
        </w:rPr>
      </w:pPr>
      <w:r>
        <w:rPr>
          <w:rFonts w:hint="eastAsia" w:ascii="仿宋" w:hAnsi="仿宋" w:eastAsia="仿宋"/>
          <w:sz w:val="32"/>
          <w:szCs w:val="32"/>
        </w:rPr>
        <w:t>感、安全感。</w:t>
      </w:r>
    </w:p>
    <w:p>
      <w:pPr>
        <w:widowControl/>
        <w:shd w:val="clear" w:color="auto" w:fill="FFFFFF"/>
        <w:spacing w:line="600" w:lineRule="atLeast"/>
        <w:ind w:left="638" w:leftChars="304" w:firstLine="160" w:firstLineChars="50"/>
        <w:jc w:val="left"/>
        <w:rPr>
          <w:rFonts w:ascii="微软雅黑" w:hAnsi="微软雅黑" w:eastAsia="微软雅黑" w:cs="微软雅黑"/>
          <w:color w:val="1E1E1E"/>
          <w:sz w:val="22"/>
        </w:rPr>
      </w:pPr>
      <w:r>
        <w:rPr>
          <w:rFonts w:hint="eastAsia" w:ascii="仿宋" w:hAnsi="仿宋" w:eastAsia="仿宋" w:cs="仿宋"/>
          <w:color w:val="1E1E1E"/>
          <w:kern w:val="0"/>
          <w:sz w:val="32"/>
          <w:szCs w:val="32"/>
          <w:shd w:val="clear" w:color="auto" w:fill="FFFFFF"/>
        </w:rPr>
        <w:t>（四）部门整体绩效得分。</w:t>
      </w:r>
    </w:p>
    <w:p>
      <w:pPr>
        <w:adjustRightInd w:val="0"/>
        <w:snapToGrid w:val="0"/>
        <w:spacing w:line="600" w:lineRule="exact"/>
        <w:ind w:firstLine="640" w:firstLineChars="200"/>
        <w:rPr>
          <w:rFonts w:ascii="微软雅黑" w:hAnsi="微软雅黑" w:eastAsia="微软雅黑" w:cs="微软雅黑"/>
          <w:color w:val="1E1E1E"/>
          <w:sz w:val="22"/>
        </w:rPr>
      </w:pPr>
      <w:r>
        <w:rPr>
          <w:rFonts w:hint="eastAsia" w:ascii="仿宋" w:hAnsi="仿宋" w:eastAsia="仿宋"/>
          <w:sz w:val="32"/>
          <w:szCs w:val="32"/>
        </w:rPr>
        <w:t>根据《部门整体支出绩效评价指标评分表》，本着实事求是的原则，我们对2020年度部门整体支出进行了客观评价，自评得分为96分</w:t>
      </w:r>
      <w:r>
        <w:rPr>
          <w:rFonts w:hint="eastAsia" w:ascii="仿宋" w:hAnsi="仿宋" w:eastAsia="仿宋" w:cs="仿宋"/>
          <w:color w:val="1E1E1E"/>
          <w:kern w:val="0"/>
          <w:sz w:val="32"/>
          <w:szCs w:val="32"/>
          <w:shd w:val="clear" w:color="auto" w:fill="FFFFFF"/>
        </w:rPr>
        <w:t>。</w:t>
      </w:r>
    </w:p>
    <w:p>
      <w:pPr>
        <w:widowControl/>
        <w:shd w:val="clear" w:color="auto" w:fill="FFFFFF"/>
        <w:spacing w:line="600" w:lineRule="atLeast"/>
        <w:ind w:left="638" w:leftChars="304" w:firstLine="160" w:firstLineChars="50"/>
        <w:jc w:val="left"/>
        <w:rPr>
          <w:rFonts w:ascii="微软雅黑" w:hAnsi="微软雅黑" w:eastAsia="微软雅黑" w:cs="微软雅黑"/>
          <w:color w:val="1E1E1E"/>
          <w:sz w:val="22"/>
        </w:rPr>
      </w:pPr>
      <w:r>
        <w:rPr>
          <w:rFonts w:ascii="黑体" w:hAnsi="宋体" w:eastAsia="黑体" w:cs="黑体"/>
          <w:color w:val="1E1E1E"/>
          <w:kern w:val="0"/>
          <w:sz w:val="32"/>
          <w:szCs w:val="32"/>
          <w:shd w:val="clear" w:color="auto" w:fill="FFFFFF"/>
        </w:rPr>
        <w:t>五、存在的主要问题</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目前，我镇存在以下主要问题：一是预算支出与实际支出存在部分差异，预算编制有待更完整科学。二是支出结构需进一步优化，改善民生的财政保障机制还有待完善。</w:t>
      </w:r>
    </w:p>
    <w:p>
      <w:pPr>
        <w:widowControl/>
        <w:shd w:val="clear" w:color="auto" w:fill="FFFFFF"/>
        <w:spacing w:line="600" w:lineRule="atLeast"/>
        <w:ind w:left="638" w:leftChars="304" w:firstLine="160" w:firstLineChars="50"/>
        <w:jc w:val="left"/>
        <w:rPr>
          <w:rFonts w:ascii="微软雅黑" w:hAnsi="微软雅黑" w:eastAsia="微软雅黑" w:cs="微软雅黑"/>
          <w:color w:val="1E1E1E"/>
          <w:sz w:val="22"/>
        </w:rPr>
      </w:pPr>
      <w:r>
        <w:rPr>
          <w:rFonts w:hint="eastAsia" w:ascii="黑体" w:hAnsi="宋体" w:eastAsia="黑体" w:cs="黑体"/>
          <w:color w:val="1E1E1E"/>
          <w:kern w:val="0"/>
          <w:sz w:val="32"/>
          <w:szCs w:val="32"/>
          <w:shd w:val="clear" w:color="auto" w:fill="FFFFFF"/>
        </w:rPr>
        <w:t>六、改进意见及建议</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b/>
          <w:bCs/>
          <w:sz w:val="32"/>
          <w:szCs w:val="32"/>
        </w:rPr>
        <w:t>1.细化预算编制工作。</w:t>
      </w:r>
      <w:r>
        <w:rPr>
          <w:rFonts w:hint="eastAsia" w:ascii="仿宋" w:hAnsi="仿宋" w:eastAsia="仿宋"/>
          <w:sz w:val="32"/>
          <w:szCs w:val="32"/>
        </w:rPr>
        <w:t>进一步加强预算管理意识，严格按照预算编制的相关制度和要求，日常公用经费根据年度工作重点合理规划，本着“勤俭节约、保障运转”的原则进行预算编制，编制范围更加全面，提高预算编制的完整性、科学性。</w:t>
      </w:r>
    </w:p>
    <w:p>
      <w:pPr>
        <w:adjustRightInd w:val="0"/>
        <w:snapToGrid w:val="0"/>
        <w:spacing w:line="600" w:lineRule="exact"/>
        <w:ind w:firstLine="640" w:firstLineChars="200"/>
        <w:rPr>
          <w:rFonts w:ascii="仿宋" w:hAnsi="仿宋" w:eastAsia="仿宋"/>
          <w:b/>
          <w:bCs/>
          <w:sz w:val="32"/>
          <w:szCs w:val="32"/>
        </w:rPr>
      </w:pPr>
      <w:r>
        <w:rPr>
          <w:rFonts w:hint="eastAsia" w:ascii="仿宋" w:hAnsi="仿宋" w:eastAsia="仿宋"/>
          <w:b/>
          <w:bCs/>
          <w:sz w:val="32"/>
          <w:szCs w:val="32"/>
        </w:rPr>
        <w:t>2.优化费用支出结构。</w:t>
      </w:r>
      <w:r>
        <w:rPr>
          <w:rFonts w:hint="eastAsia" w:ascii="仿宋" w:hAnsi="仿宋" w:eastAsia="仿宋"/>
          <w:sz w:val="32"/>
          <w:szCs w:val="32"/>
        </w:rPr>
        <w:t>在收支矛盾突出，支出缺口较大的情况下，切实加强资金的使用，以保工资、保稳定、保政府正常运转为前提，坚持量力而行，量财办事，坚决反铺张浪费，勤俭办事，严格控制“三公经费”，打造节约型政府；加大对“三农”和社会事业发展等公共财政支出的力度，加快建立民生财政。</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b/>
          <w:bCs/>
          <w:sz w:val="32"/>
          <w:szCs w:val="32"/>
        </w:rPr>
        <w:t>3.坚持深化改革，规范财政监督管理，提高资金使用效益。</w:t>
      </w:r>
      <w:r>
        <w:rPr>
          <w:rFonts w:hint="eastAsia" w:ascii="仿宋" w:hAnsi="仿宋" w:eastAsia="仿宋"/>
          <w:sz w:val="32"/>
          <w:szCs w:val="32"/>
        </w:rPr>
        <w:t>一是强化财政收入进度管理。按照入进度和预算计划合理调度资金，加快资金流转，防止资金滞留、挪用等问题。二是加强对专项资金的跟踪检查，促使专款及时足额落实到项目，专款专用。三是切实加强对村（社区）财务的管理与监督，进一步规范村（社区）财务行为。</w:t>
      </w:r>
    </w:p>
    <w:p>
      <w:pPr>
        <w:adjustRightInd w:val="0"/>
        <w:snapToGrid w:val="0"/>
        <w:spacing w:line="600" w:lineRule="exact"/>
        <w:ind w:firstLine="640" w:firstLineChars="200"/>
        <w:rPr>
          <w:rFonts w:ascii="仿宋" w:hAnsi="仿宋" w:eastAsia="仿宋"/>
          <w:sz w:val="32"/>
          <w:szCs w:val="32"/>
        </w:rPr>
      </w:pPr>
    </w:p>
    <w:p>
      <w:pPr>
        <w:adjustRightInd w:val="0"/>
        <w:snapToGrid w:val="0"/>
        <w:spacing w:line="600" w:lineRule="exact"/>
        <w:rPr>
          <w:rFonts w:ascii="仿宋" w:hAnsi="仿宋" w:eastAsia="仿宋"/>
          <w:sz w:val="32"/>
          <w:szCs w:val="32"/>
        </w:rPr>
      </w:pPr>
    </w:p>
    <w:p>
      <w:pPr>
        <w:widowControl/>
        <w:spacing w:line="600" w:lineRule="exact"/>
        <w:rPr>
          <w:rFonts w:ascii="仿宋" w:hAnsi="仿宋" w:eastAsia="仿宋"/>
          <w:sz w:val="32"/>
          <w:szCs w:val="32"/>
        </w:rPr>
      </w:pP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p>
    <w:p>
      <w:pPr>
        <w:widowControl/>
        <w:shd w:val="clear" w:color="auto" w:fill="FFFFFF"/>
        <w:spacing w:line="600" w:lineRule="atLeast"/>
        <w:ind w:firstLine="640" w:firstLineChars="200"/>
        <w:jc w:val="left"/>
        <w:rPr>
          <w:rFonts w:ascii="仿宋" w:hAnsi="仿宋" w:eastAsia="仿宋" w:cs="仿宋"/>
          <w:color w:val="1E1E1E"/>
          <w:kern w:val="0"/>
          <w:sz w:val="32"/>
          <w:szCs w:val="32"/>
          <w:shd w:val="clear" w:color="auto" w:fill="FFFFFF"/>
        </w:rPr>
      </w:pPr>
    </w:p>
    <w:p>
      <w:pPr>
        <w:rPr>
          <w:rFonts w:eastAsia="方正小标宋_GBK"/>
          <w:sz w:val="36"/>
          <w:szCs w:val="36"/>
        </w:rPr>
      </w:pPr>
      <w:r>
        <w:rPr>
          <w:rFonts w:hint="eastAsia" w:eastAsia="方正小标宋_GBK"/>
          <w:sz w:val="36"/>
          <w:szCs w:val="36"/>
        </w:rPr>
        <w:br w:type="page"/>
      </w:r>
    </w:p>
    <w:p>
      <w:pPr>
        <w:jc w:val="center"/>
        <w:rPr>
          <w:rFonts w:eastAsia="方正小标宋_GBK"/>
          <w:sz w:val="36"/>
          <w:szCs w:val="36"/>
        </w:rPr>
        <w:sectPr>
          <w:pgSz w:w="11906" w:h="16838"/>
          <w:pgMar w:top="720" w:right="720" w:bottom="720" w:left="720" w:header="851" w:footer="992" w:gutter="0"/>
          <w:cols w:space="425" w:num="1"/>
          <w:docGrid w:type="linesAndChars" w:linePitch="312" w:charSpace="0"/>
        </w:sectPr>
      </w:pPr>
    </w:p>
    <w:p>
      <w:pPr>
        <w:jc w:val="center"/>
        <w:rPr>
          <w:rFonts w:eastAsia="方正小标宋_GBK"/>
          <w:spacing w:val="-8"/>
          <w:sz w:val="28"/>
          <w:szCs w:val="28"/>
        </w:rPr>
      </w:pPr>
      <w:r>
        <w:rPr>
          <w:rFonts w:hint="eastAsia" w:eastAsia="方正小标宋_GBK"/>
          <w:sz w:val="36"/>
          <w:szCs w:val="36"/>
        </w:rPr>
        <w:t>2020年度部门整体支出</w:t>
      </w:r>
      <w:r>
        <w:rPr>
          <w:rFonts w:eastAsia="方正小标宋_GBK"/>
          <w:spacing w:val="-8"/>
          <w:sz w:val="36"/>
          <w:szCs w:val="36"/>
        </w:rPr>
        <w:t>绩效评价指标评分表</w:t>
      </w:r>
    </w:p>
    <w:p>
      <w:pPr>
        <w:spacing w:line="600" w:lineRule="exact"/>
        <w:ind w:left="396" w:hanging="396"/>
        <w:rPr>
          <w:rFonts w:ascii="楷体_GB2312" w:eastAsia="楷体_GB2312"/>
          <w:spacing w:val="-8"/>
          <w:sz w:val="28"/>
          <w:szCs w:val="28"/>
        </w:rPr>
      </w:pPr>
      <w:r>
        <w:rPr>
          <w:rFonts w:hint="eastAsia" w:ascii="楷体_GB2312" w:eastAsia="楷体_GB2312"/>
          <w:spacing w:val="-8"/>
          <w:sz w:val="28"/>
          <w:szCs w:val="28"/>
        </w:rPr>
        <w:t>填报单位（盖章）：新邵县潭溪镇人民政府</w:t>
      </w:r>
    </w:p>
    <w:tbl>
      <w:tblPr>
        <w:tblStyle w:val="5"/>
        <w:tblW w:w="14287" w:type="dxa"/>
        <w:jc w:val="center"/>
        <w:tblLayout w:type="fixed"/>
        <w:tblCellMar>
          <w:top w:w="0" w:type="dxa"/>
          <w:left w:w="0" w:type="dxa"/>
          <w:bottom w:w="0" w:type="dxa"/>
          <w:right w:w="0" w:type="dxa"/>
        </w:tblCellMar>
      </w:tblPr>
      <w:tblGrid>
        <w:gridCol w:w="690"/>
        <w:gridCol w:w="704"/>
        <w:gridCol w:w="960"/>
        <w:gridCol w:w="5340"/>
        <w:gridCol w:w="5825"/>
        <w:gridCol w:w="768"/>
      </w:tblGrid>
      <w:tr>
        <w:tblPrEx>
          <w:tblCellMar>
            <w:top w:w="0" w:type="dxa"/>
            <w:left w:w="0" w:type="dxa"/>
            <w:bottom w:w="0" w:type="dxa"/>
            <w:right w:w="0" w:type="dxa"/>
          </w:tblCellMar>
        </w:tblPrEx>
        <w:trPr>
          <w:trHeight w:val="644" w:hRule="atLeast"/>
          <w:tblHeader/>
          <w:jc w:val="center"/>
        </w:trPr>
        <w:tc>
          <w:tcPr>
            <w:tcW w:w="690" w:type="dxa"/>
            <w:tcBorders>
              <w:top w:val="single" w:color="auto" w:sz="4" w:space="0"/>
              <w:left w:val="single" w:color="auto" w:sz="8" w:space="0"/>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rFonts w:hint="eastAsia" w:eastAsiaTheme="minorEastAsia"/>
                <w:color w:val="000000"/>
                <w:sz w:val="21"/>
                <w:szCs w:val="21"/>
                <w:lang w:eastAsia="zh-CN"/>
              </w:rPr>
            </w:pPr>
            <w:r>
              <w:rPr>
                <w:rFonts w:hint="eastAsia"/>
                <w:color w:val="000000"/>
                <w:sz w:val="21"/>
                <w:szCs w:val="21"/>
              </w:rPr>
              <w:t>一级</w:t>
            </w:r>
          </w:p>
          <w:p>
            <w:pPr>
              <w:pStyle w:val="4"/>
              <w:spacing w:before="0" w:beforeAutospacing="0" w:after="0" w:afterAutospacing="0" w:line="600" w:lineRule="exact"/>
              <w:jc w:val="center"/>
              <w:rPr>
                <w:sz w:val="21"/>
                <w:szCs w:val="21"/>
              </w:rPr>
            </w:pPr>
            <w:r>
              <w:rPr>
                <w:rFonts w:hint="eastAsia"/>
                <w:color w:val="000000"/>
                <w:sz w:val="21"/>
                <w:szCs w:val="21"/>
              </w:rPr>
              <w:t>指标</w:t>
            </w:r>
          </w:p>
        </w:tc>
        <w:tc>
          <w:tcPr>
            <w:tcW w:w="704"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二级指标</w:t>
            </w:r>
          </w:p>
        </w:tc>
        <w:tc>
          <w:tcPr>
            <w:tcW w:w="960"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三级指标</w:t>
            </w:r>
          </w:p>
        </w:tc>
        <w:tc>
          <w:tcPr>
            <w:tcW w:w="5340"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指标解释</w:t>
            </w:r>
          </w:p>
        </w:tc>
        <w:tc>
          <w:tcPr>
            <w:tcW w:w="5825"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指标说明</w:t>
            </w:r>
          </w:p>
        </w:tc>
        <w:tc>
          <w:tcPr>
            <w:tcW w:w="768" w:type="dxa"/>
            <w:tcBorders>
              <w:top w:val="single" w:color="auto" w:sz="4" w:space="0"/>
              <w:left w:val="nil"/>
              <w:bottom w:val="single" w:color="auto" w:sz="8" w:space="0"/>
              <w:right w:val="single" w:color="auto" w:sz="8" w:space="0"/>
            </w:tcBorders>
            <w:vAlign w:val="center"/>
          </w:tcPr>
          <w:p>
            <w:pPr>
              <w:pStyle w:val="4"/>
              <w:spacing w:before="0" w:beforeAutospacing="0" w:after="0" w:afterAutospacing="0" w:line="600" w:lineRule="exact"/>
              <w:jc w:val="center"/>
            </w:pPr>
            <w:r>
              <w:rPr>
                <w:rFonts w:hint="eastAsia"/>
                <w:color w:val="000000"/>
                <w:sz w:val="21"/>
                <w:szCs w:val="21"/>
              </w:rPr>
              <w:t>自评分</w:t>
            </w:r>
          </w:p>
        </w:tc>
      </w:tr>
      <w:tr>
        <w:tblPrEx>
          <w:tblCellMar>
            <w:top w:w="0" w:type="dxa"/>
            <w:left w:w="0" w:type="dxa"/>
            <w:bottom w:w="0" w:type="dxa"/>
            <w:right w:w="0" w:type="dxa"/>
          </w:tblCellMar>
        </w:tblPrEx>
        <w:trPr>
          <w:trHeight w:val="1006"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投入(20分)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rFonts w:hint="eastAsia" w:eastAsiaTheme="minorEastAsia"/>
                <w:color w:val="000000"/>
                <w:sz w:val="21"/>
                <w:szCs w:val="21"/>
                <w:lang w:eastAsia="zh-CN"/>
              </w:rPr>
            </w:pPr>
            <w:r>
              <w:rPr>
                <w:rFonts w:hint="eastAsia"/>
                <w:color w:val="000000"/>
                <w:sz w:val="21"/>
                <w:szCs w:val="21"/>
              </w:rPr>
              <w:t>目标</w:t>
            </w:r>
          </w:p>
          <w:p>
            <w:pPr>
              <w:pStyle w:val="4"/>
              <w:spacing w:before="0" w:beforeAutospacing="0" w:after="0" w:afterAutospacing="0" w:line="600" w:lineRule="exact"/>
              <w:jc w:val="center"/>
              <w:rPr>
                <w:color w:val="000000"/>
                <w:sz w:val="21"/>
                <w:szCs w:val="21"/>
              </w:rPr>
            </w:pPr>
            <w:r>
              <w:rPr>
                <w:rFonts w:hint="eastAsia"/>
                <w:color w:val="000000"/>
                <w:sz w:val="21"/>
                <w:szCs w:val="21"/>
              </w:rPr>
              <w:t>设定</w:t>
            </w:r>
          </w:p>
          <w:p>
            <w:pPr>
              <w:pStyle w:val="4"/>
              <w:spacing w:before="0" w:beforeAutospacing="0" w:after="0" w:afterAutospacing="0" w:line="600" w:lineRule="exact"/>
              <w:jc w:val="center"/>
              <w:rPr>
                <w:sz w:val="21"/>
                <w:szCs w:val="21"/>
              </w:rPr>
            </w:pPr>
            <w:r>
              <w:rPr>
                <w:rFonts w:hint="eastAsia"/>
                <w:color w:val="000000"/>
                <w:sz w:val="21"/>
                <w:szCs w:val="21"/>
              </w:rPr>
              <w:t>（5分）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color w:val="000000"/>
                <w:sz w:val="21"/>
                <w:szCs w:val="21"/>
              </w:rPr>
            </w:pPr>
            <w:r>
              <w:rPr>
                <w:rFonts w:hint="eastAsia"/>
                <w:color w:val="000000"/>
                <w:sz w:val="21"/>
                <w:szCs w:val="21"/>
              </w:rPr>
              <w:t>绩效目标合理性</w:t>
            </w:r>
          </w:p>
          <w:p>
            <w:pPr>
              <w:pStyle w:val="4"/>
              <w:spacing w:before="0" w:beforeAutospacing="0" w:after="0" w:afterAutospacing="0" w:line="600" w:lineRule="exact"/>
              <w:jc w:val="center"/>
              <w:rPr>
                <w:sz w:val="21"/>
                <w:szCs w:val="21"/>
              </w:rPr>
            </w:pPr>
            <w:r>
              <w:rPr>
                <w:rFonts w:hint="eastAsia"/>
                <w:color w:val="000000"/>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部门所设立的整体绩效目标依据是否充分，是否符合客观实际，用以反映和考核部门整体绩效目标与部门履职、年度工作任务的相符性情况。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color w:val="000000"/>
                <w:sz w:val="21"/>
                <w:szCs w:val="21"/>
              </w:rPr>
            </w:pPr>
            <w:r>
              <w:rPr>
                <w:rFonts w:hint="eastAsia"/>
                <w:color w:val="000000"/>
                <w:sz w:val="21"/>
                <w:szCs w:val="21"/>
              </w:rPr>
              <w:t>①符合国家法律法规、国民经济和社会发展总体规划计1分；</w:t>
            </w:r>
          </w:p>
          <w:p>
            <w:pPr>
              <w:pStyle w:val="4"/>
              <w:spacing w:before="0" w:beforeAutospacing="0" w:after="0" w:afterAutospacing="0" w:line="600" w:lineRule="exact"/>
              <w:jc w:val="both"/>
              <w:rPr>
                <w:color w:val="000000"/>
                <w:sz w:val="21"/>
                <w:szCs w:val="21"/>
              </w:rPr>
            </w:pPr>
            <w:r>
              <w:rPr>
                <w:rFonts w:hint="eastAsia"/>
                <w:color w:val="000000"/>
                <w:sz w:val="21"/>
                <w:szCs w:val="21"/>
              </w:rPr>
              <w:t>②符合部门“三定”方案确定的职责计0.5分；</w:t>
            </w:r>
          </w:p>
          <w:p>
            <w:pPr>
              <w:pStyle w:val="4"/>
              <w:spacing w:before="0" w:beforeAutospacing="0" w:after="0" w:afterAutospacing="0" w:line="600" w:lineRule="exact"/>
              <w:jc w:val="both"/>
              <w:rPr>
                <w:sz w:val="21"/>
                <w:szCs w:val="21"/>
              </w:rPr>
            </w:pPr>
            <w:r>
              <w:rPr>
                <w:rFonts w:hint="eastAsia"/>
                <w:color w:val="000000"/>
                <w:sz w:val="21"/>
                <w:szCs w:val="21"/>
              </w:rPr>
              <w:t>③是否符合部门制定的中长期实施规划计0.5分。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109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color w:val="000000"/>
                <w:sz w:val="21"/>
                <w:szCs w:val="21"/>
              </w:rPr>
            </w:pPr>
            <w:r>
              <w:rPr>
                <w:rFonts w:hint="eastAsia"/>
                <w:color w:val="000000"/>
                <w:sz w:val="21"/>
                <w:szCs w:val="21"/>
              </w:rPr>
              <w:t>绩效指标明确性</w:t>
            </w:r>
          </w:p>
          <w:p>
            <w:pPr>
              <w:pStyle w:val="4"/>
              <w:spacing w:before="0" w:beforeAutospacing="0" w:after="0" w:afterAutospacing="0" w:line="600" w:lineRule="exact"/>
              <w:jc w:val="center"/>
              <w:rPr>
                <w:sz w:val="21"/>
                <w:szCs w:val="21"/>
              </w:rPr>
            </w:pPr>
            <w:r>
              <w:rPr>
                <w:rFonts w:hint="eastAsia"/>
                <w:color w:val="000000"/>
                <w:sz w:val="21"/>
                <w:szCs w:val="21"/>
              </w:rPr>
              <w:t>（3分）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部门依据整体绩效目标所设定的绩效指标是否清晰、细化、可衡量，用以反映和考核部门整体绩效目标的明细化情况。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color w:val="000000"/>
                <w:sz w:val="21"/>
                <w:szCs w:val="21"/>
              </w:rPr>
            </w:pPr>
            <w:r>
              <w:rPr>
                <w:rFonts w:hint="eastAsia"/>
                <w:color w:val="000000"/>
                <w:sz w:val="21"/>
                <w:szCs w:val="21"/>
              </w:rPr>
              <w:t>①将部门整体的绩效目标细化分解为具体的工作任务计1分；</w:t>
            </w:r>
          </w:p>
          <w:p>
            <w:pPr>
              <w:pStyle w:val="4"/>
              <w:spacing w:before="0" w:beforeAutospacing="0" w:after="0" w:afterAutospacing="0" w:line="600" w:lineRule="exact"/>
              <w:jc w:val="both"/>
              <w:rPr>
                <w:color w:val="000000"/>
                <w:sz w:val="21"/>
                <w:szCs w:val="21"/>
              </w:rPr>
            </w:pPr>
            <w:r>
              <w:rPr>
                <w:rFonts w:hint="eastAsia"/>
                <w:color w:val="000000"/>
                <w:sz w:val="21"/>
                <w:szCs w:val="21"/>
              </w:rPr>
              <w:t>②通过清晰、可衡量的指标值予以体现计0.5分；</w:t>
            </w:r>
          </w:p>
          <w:p>
            <w:pPr>
              <w:pStyle w:val="4"/>
              <w:spacing w:before="0" w:beforeAutospacing="0" w:after="0" w:afterAutospacing="0" w:line="600" w:lineRule="exact"/>
              <w:jc w:val="both"/>
              <w:rPr>
                <w:color w:val="000000"/>
                <w:sz w:val="21"/>
                <w:szCs w:val="21"/>
              </w:rPr>
            </w:pPr>
            <w:r>
              <w:rPr>
                <w:rFonts w:hint="eastAsia"/>
                <w:color w:val="000000"/>
                <w:sz w:val="21"/>
                <w:szCs w:val="21"/>
              </w:rPr>
              <w:t>③与部门年度的任务数或计划数相对应计0.5分；</w:t>
            </w:r>
          </w:p>
          <w:p>
            <w:pPr>
              <w:pStyle w:val="4"/>
              <w:spacing w:before="0" w:beforeAutospacing="0" w:after="0" w:afterAutospacing="0" w:line="600" w:lineRule="exact"/>
              <w:jc w:val="both"/>
              <w:rPr>
                <w:sz w:val="21"/>
                <w:szCs w:val="21"/>
              </w:rPr>
            </w:pPr>
            <w:r>
              <w:rPr>
                <w:rFonts w:hint="eastAsia"/>
                <w:color w:val="000000"/>
                <w:sz w:val="21"/>
                <w:szCs w:val="21"/>
              </w:rPr>
              <w:t>④与本年度部门预算资金相匹配计1分。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3</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rFonts w:hint="eastAsia" w:eastAsiaTheme="minorEastAsia"/>
                <w:color w:val="000000"/>
                <w:sz w:val="21"/>
                <w:szCs w:val="21"/>
                <w:lang w:eastAsia="zh-CN"/>
              </w:rPr>
            </w:pPr>
            <w:r>
              <w:rPr>
                <w:rFonts w:hint="eastAsia"/>
                <w:color w:val="000000"/>
                <w:sz w:val="21"/>
                <w:szCs w:val="21"/>
              </w:rPr>
              <w:t>预算</w:t>
            </w:r>
          </w:p>
          <w:p>
            <w:pPr>
              <w:pStyle w:val="4"/>
              <w:spacing w:before="0" w:beforeAutospacing="0" w:after="0" w:afterAutospacing="0" w:line="600" w:lineRule="exact"/>
              <w:jc w:val="center"/>
              <w:rPr>
                <w:sz w:val="21"/>
                <w:szCs w:val="21"/>
              </w:rPr>
            </w:pPr>
            <w:r>
              <w:rPr>
                <w:rFonts w:hint="eastAsia"/>
                <w:color w:val="000000"/>
                <w:sz w:val="21"/>
                <w:szCs w:val="21"/>
              </w:rPr>
              <w:t>配置（15分）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color w:val="000000"/>
                <w:sz w:val="21"/>
                <w:szCs w:val="21"/>
              </w:rPr>
            </w:pPr>
            <w:r>
              <w:rPr>
                <w:rFonts w:hint="eastAsia"/>
                <w:color w:val="000000"/>
                <w:sz w:val="21"/>
                <w:szCs w:val="21"/>
              </w:rPr>
              <w:t>在职人员控制率</w:t>
            </w:r>
          </w:p>
          <w:p>
            <w:pPr>
              <w:pStyle w:val="4"/>
              <w:spacing w:before="0" w:beforeAutospacing="0" w:after="0" w:afterAutospacing="0" w:line="600" w:lineRule="exact"/>
              <w:jc w:val="center"/>
              <w:rPr>
                <w:sz w:val="21"/>
                <w:szCs w:val="21"/>
              </w:rPr>
            </w:pPr>
            <w:r>
              <w:rPr>
                <w:rFonts w:hint="eastAsia"/>
                <w:color w:val="000000"/>
                <w:sz w:val="21"/>
                <w:szCs w:val="21"/>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部门本年度实际在职人员数与编制数的比率，用以反映和考核部门对人员成本的控制程度。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4.5</w:t>
            </w:r>
          </w:p>
        </w:tc>
      </w:tr>
      <w:tr>
        <w:tblPrEx>
          <w:tblCellMar>
            <w:top w:w="0" w:type="dxa"/>
            <w:left w:w="0" w:type="dxa"/>
            <w:bottom w:w="0" w:type="dxa"/>
            <w:right w:w="0" w:type="dxa"/>
          </w:tblCellMar>
        </w:tblPrEx>
        <w:trPr>
          <w:trHeight w:val="1238"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“三公经费”变动率（5分）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部门本年度“三公经费”预算数与上年度“三公经费”预算数的变动比率，用以反映和考核部门对控制重点行政成本的努力程度。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155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color w:val="000000"/>
                <w:sz w:val="21"/>
                <w:szCs w:val="21"/>
              </w:rPr>
            </w:pPr>
            <w:r>
              <w:rPr>
                <w:rFonts w:hint="eastAsia"/>
                <w:color w:val="000000"/>
                <w:sz w:val="21"/>
                <w:szCs w:val="21"/>
              </w:rPr>
              <w:t>重点支出安排率</w:t>
            </w:r>
          </w:p>
          <w:p>
            <w:pPr>
              <w:pStyle w:val="4"/>
              <w:spacing w:before="0" w:beforeAutospacing="0" w:after="0" w:afterAutospacing="0" w:line="600" w:lineRule="exact"/>
              <w:jc w:val="center"/>
              <w:rPr>
                <w:sz w:val="21"/>
                <w:szCs w:val="21"/>
              </w:rPr>
            </w:pPr>
            <w:r>
              <w:rPr>
                <w:rFonts w:hint="eastAsia"/>
                <w:color w:val="000000"/>
                <w:sz w:val="21"/>
                <w:szCs w:val="21"/>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部门本年度预算安排的重点项目支出与部门项目总支出的比率，用以反映和考核部门对履行主要职责或完成重点任务的保障程度。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976"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color w:val="000000"/>
                <w:sz w:val="21"/>
                <w:szCs w:val="21"/>
              </w:rPr>
            </w:pPr>
            <w:r>
              <w:rPr>
                <w:rFonts w:hint="eastAsia"/>
                <w:color w:val="000000"/>
                <w:sz w:val="21"/>
                <w:szCs w:val="21"/>
              </w:rPr>
              <w:t>过程</w:t>
            </w:r>
          </w:p>
          <w:p>
            <w:pPr>
              <w:pStyle w:val="4"/>
              <w:spacing w:before="0" w:beforeAutospacing="0" w:after="0" w:afterAutospacing="0" w:line="600" w:lineRule="exact"/>
              <w:jc w:val="center"/>
              <w:rPr>
                <w:sz w:val="21"/>
                <w:szCs w:val="21"/>
              </w:rPr>
            </w:pPr>
            <w:r>
              <w:rPr>
                <w:rFonts w:hint="eastAsia"/>
                <w:color w:val="000000"/>
                <w:sz w:val="21"/>
                <w:szCs w:val="21"/>
              </w:rPr>
              <w:t>(40分)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rFonts w:hint="eastAsia" w:eastAsiaTheme="minorEastAsia"/>
                <w:color w:val="000000"/>
                <w:sz w:val="21"/>
                <w:szCs w:val="21"/>
                <w:lang w:eastAsia="zh-CN"/>
              </w:rPr>
            </w:pPr>
            <w:r>
              <w:rPr>
                <w:rFonts w:hint="eastAsia"/>
                <w:color w:val="000000"/>
                <w:sz w:val="21"/>
                <w:szCs w:val="21"/>
              </w:rPr>
              <w:t>预算</w:t>
            </w:r>
          </w:p>
          <w:p>
            <w:pPr>
              <w:pStyle w:val="4"/>
              <w:spacing w:before="0" w:beforeAutospacing="0" w:after="0" w:afterAutospacing="0" w:line="600" w:lineRule="exact"/>
              <w:jc w:val="center"/>
              <w:rPr>
                <w:sz w:val="21"/>
                <w:szCs w:val="21"/>
              </w:rPr>
            </w:pPr>
            <w:r>
              <w:rPr>
                <w:rFonts w:hint="eastAsia"/>
                <w:color w:val="000000"/>
                <w:sz w:val="21"/>
                <w:szCs w:val="21"/>
              </w:rPr>
              <w:t>执行</w:t>
            </w:r>
          </w:p>
          <w:p>
            <w:pPr>
              <w:pStyle w:val="4"/>
              <w:spacing w:before="0" w:beforeAutospacing="0" w:after="0" w:afterAutospacing="0" w:line="600" w:lineRule="exact"/>
              <w:jc w:val="center"/>
              <w:rPr>
                <w:sz w:val="21"/>
                <w:szCs w:val="21"/>
              </w:rPr>
            </w:pPr>
            <w:r>
              <w:rPr>
                <w:rFonts w:hint="eastAsia"/>
                <w:color w:val="000000"/>
                <w:sz w:val="21"/>
                <w:szCs w:val="21"/>
              </w:rPr>
              <w:t>(23分)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color w:val="000000"/>
                <w:sz w:val="21"/>
                <w:szCs w:val="21"/>
              </w:rPr>
            </w:pPr>
            <w:r>
              <w:rPr>
                <w:rFonts w:hint="eastAsia"/>
                <w:color w:val="000000"/>
                <w:sz w:val="21"/>
                <w:szCs w:val="21"/>
              </w:rPr>
              <w:t>预算</w:t>
            </w:r>
          </w:p>
          <w:p>
            <w:pPr>
              <w:pStyle w:val="4"/>
              <w:spacing w:before="0" w:beforeAutospacing="0" w:after="0" w:afterAutospacing="0" w:line="600" w:lineRule="exact"/>
              <w:jc w:val="center"/>
              <w:rPr>
                <w:color w:val="000000"/>
                <w:sz w:val="21"/>
                <w:szCs w:val="21"/>
              </w:rPr>
            </w:pPr>
            <w:r>
              <w:rPr>
                <w:rFonts w:hint="eastAsia"/>
                <w:color w:val="000000"/>
                <w:sz w:val="21"/>
                <w:szCs w:val="21"/>
              </w:rPr>
              <w:t>完成率</w:t>
            </w:r>
          </w:p>
          <w:p>
            <w:pPr>
              <w:pStyle w:val="4"/>
              <w:spacing w:before="0" w:beforeAutospacing="0" w:after="0" w:afterAutospacing="0" w:line="600" w:lineRule="exact"/>
              <w:jc w:val="center"/>
              <w:rPr>
                <w:sz w:val="21"/>
                <w:szCs w:val="21"/>
              </w:rPr>
            </w:pPr>
            <w:r>
              <w:rPr>
                <w:rFonts w:hint="eastAsia"/>
                <w:color w:val="000000"/>
                <w:sz w:val="21"/>
                <w:szCs w:val="21"/>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部门本年度预算完成数与预算数的比率，用以反映和考核部门预算完成程度。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预算完成率=（预算完成数/预算数）×100%。完成年初预算计4分，未完成年初预算按比例扣减，预算完成数：部门本年度实际完成的预算数。预算数：财政部门批复的本年度部门预算数。</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3.5</w:t>
            </w:r>
          </w:p>
        </w:tc>
      </w:tr>
      <w:tr>
        <w:tblPrEx>
          <w:tblCellMar>
            <w:top w:w="0" w:type="dxa"/>
            <w:left w:w="0" w:type="dxa"/>
            <w:bottom w:w="0" w:type="dxa"/>
            <w:right w:w="0" w:type="dxa"/>
          </w:tblCellMar>
        </w:tblPrEx>
        <w:trPr>
          <w:trHeight w:val="150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color w:val="000000"/>
                <w:sz w:val="21"/>
                <w:szCs w:val="21"/>
              </w:rPr>
            </w:pPr>
            <w:r>
              <w:rPr>
                <w:rFonts w:hint="eastAsia"/>
                <w:color w:val="000000"/>
                <w:sz w:val="21"/>
                <w:szCs w:val="21"/>
              </w:rPr>
              <w:t>预算</w:t>
            </w:r>
          </w:p>
          <w:p>
            <w:pPr>
              <w:pStyle w:val="4"/>
              <w:spacing w:before="0" w:beforeAutospacing="0" w:after="0" w:afterAutospacing="0" w:line="600" w:lineRule="exact"/>
              <w:jc w:val="center"/>
              <w:rPr>
                <w:color w:val="000000"/>
                <w:sz w:val="21"/>
                <w:szCs w:val="21"/>
              </w:rPr>
            </w:pPr>
            <w:r>
              <w:rPr>
                <w:rFonts w:hint="eastAsia"/>
                <w:color w:val="000000"/>
                <w:sz w:val="21"/>
                <w:szCs w:val="21"/>
              </w:rPr>
              <w:t>调整率</w:t>
            </w:r>
          </w:p>
          <w:p>
            <w:pPr>
              <w:pStyle w:val="4"/>
              <w:spacing w:before="0" w:beforeAutospacing="0" w:after="0" w:afterAutospacing="0" w:line="600" w:lineRule="exact"/>
              <w:jc w:val="center"/>
              <w:rPr>
                <w:sz w:val="21"/>
                <w:szCs w:val="21"/>
              </w:rPr>
            </w:pPr>
            <w:r>
              <w:rPr>
                <w:rFonts w:hint="eastAsia"/>
                <w:color w:val="000000"/>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部门本年度预算调整数与预算数的比率，用以反映和考核部门预算的调整程度。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1770"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color w:val="000000"/>
                <w:sz w:val="21"/>
                <w:szCs w:val="21"/>
              </w:rPr>
            </w:pPr>
            <w:r>
              <w:rPr>
                <w:rFonts w:hint="eastAsia"/>
                <w:color w:val="000000"/>
                <w:sz w:val="21"/>
                <w:szCs w:val="21"/>
              </w:rPr>
              <w:t>支付</w:t>
            </w:r>
          </w:p>
          <w:p>
            <w:pPr>
              <w:pStyle w:val="4"/>
              <w:spacing w:before="0" w:beforeAutospacing="0" w:after="0" w:afterAutospacing="0" w:line="600" w:lineRule="exact"/>
              <w:jc w:val="center"/>
              <w:rPr>
                <w:color w:val="000000"/>
                <w:sz w:val="21"/>
                <w:szCs w:val="21"/>
              </w:rPr>
            </w:pPr>
            <w:r>
              <w:rPr>
                <w:rFonts w:hint="eastAsia"/>
                <w:color w:val="000000"/>
                <w:sz w:val="21"/>
                <w:szCs w:val="21"/>
              </w:rPr>
              <w:t>进度率</w:t>
            </w:r>
          </w:p>
          <w:p>
            <w:pPr>
              <w:pStyle w:val="4"/>
              <w:spacing w:before="0" w:beforeAutospacing="0" w:after="0" w:afterAutospacing="0" w:line="600" w:lineRule="exact"/>
              <w:jc w:val="center"/>
              <w:rPr>
                <w:sz w:val="21"/>
                <w:szCs w:val="21"/>
              </w:rPr>
            </w:pPr>
            <w:r>
              <w:rPr>
                <w:rFonts w:hint="eastAsia"/>
                <w:color w:val="000000"/>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部门实际支付进度与既定支付进度的比率，用以反映和考核部门预算执行的及时性和均衡性程度。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color w:val="000000"/>
                <w:sz w:val="21"/>
                <w:szCs w:val="21"/>
              </w:rPr>
            </w:pPr>
            <w:r>
              <w:rPr>
                <w:rFonts w:hint="eastAsia"/>
                <w:color w:val="000000"/>
                <w:sz w:val="21"/>
                <w:szCs w:val="21"/>
              </w:rPr>
              <w:t>结转结余控制率</w:t>
            </w:r>
          </w:p>
          <w:p>
            <w:pPr>
              <w:pStyle w:val="4"/>
              <w:spacing w:before="0" w:beforeAutospacing="0" w:after="0" w:afterAutospacing="0" w:line="600" w:lineRule="exact"/>
              <w:jc w:val="center"/>
              <w:rPr>
                <w:sz w:val="21"/>
                <w:szCs w:val="21"/>
              </w:rPr>
            </w:pPr>
            <w:r>
              <w:rPr>
                <w:rFonts w:hint="eastAsia"/>
                <w:color w:val="000000"/>
                <w:sz w:val="21"/>
                <w:szCs w:val="21"/>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部门本年度结转结余总额与上年结转结余总额增减比例，用以反映和考核部门对存量资金的实际控制程度。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3.5</w:t>
            </w:r>
          </w:p>
        </w:tc>
      </w:tr>
      <w:tr>
        <w:tblPrEx>
          <w:tblCellMar>
            <w:top w:w="0" w:type="dxa"/>
            <w:left w:w="0" w:type="dxa"/>
            <w:bottom w:w="0" w:type="dxa"/>
            <w:right w:w="0" w:type="dxa"/>
          </w:tblCellMar>
        </w:tblPrEx>
        <w:trPr>
          <w:trHeight w:val="93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公用经费</w:t>
            </w:r>
          </w:p>
          <w:p>
            <w:pPr>
              <w:pStyle w:val="4"/>
              <w:spacing w:before="0" w:beforeAutospacing="0" w:after="0" w:afterAutospacing="0" w:line="600" w:lineRule="exact"/>
              <w:jc w:val="center"/>
              <w:rPr>
                <w:color w:val="000000"/>
                <w:sz w:val="21"/>
                <w:szCs w:val="21"/>
              </w:rPr>
            </w:pPr>
            <w:r>
              <w:rPr>
                <w:rFonts w:hint="eastAsia"/>
                <w:color w:val="000000"/>
                <w:sz w:val="21"/>
                <w:szCs w:val="21"/>
              </w:rPr>
              <w:t>控制率</w:t>
            </w:r>
          </w:p>
          <w:p>
            <w:pPr>
              <w:pStyle w:val="4"/>
              <w:spacing w:before="0" w:beforeAutospacing="0" w:after="0" w:afterAutospacing="0" w:line="600" w:lineRule="exact"/>
              <w:jc w:val="center"/>
              <w:rPr>
                <w:sz w:val="21"/>
                <w:szCs w:val="21"/>
              </w:rPr>
            </w:pPr>
            <w:r>
              <w:rPr>
                <w:rFonts w:hint="eastAsia"/>
                <w:color w:val="000000"/>
                <w:sz w:val="21"/>
                <w:szCs w:val="21"/>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部门本年度实际支出的公用经费总额与预算安排的公用经费总额的比率，用以反映和考核部门对机构运转成本的实际控制程度。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公用经费控制率=（实际支出公用经费总额/预算安排公用经费总额）×100%。为100%的计4分，每超过1个百分点扣0.1分，扣完为止。</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3.5</w:t>
            </w:r>
          </w:p>
        </w:tc>
      </w:tr>
      <w:tr>
        <w:tblPrEx>
          <w:tblCellMar>
            <w:top w:w="0" w:type="dxa"/>
            <w:left w:w="0" w:type="dxa"/>
            <w:bottom w:w="0" w:type="dxa"/>
            <w:right w:w="0" w:type="dxa"/>
          </w:tblCellMar>
        </w:tblPrEx>
        <w:trPr>
          <w:trHeight w:val="87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“三公经费”控制率（3分）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部门本年度“三公经费”实际支出数与预算安排数的比率，用以反映和考核部门对“三公经费”的实际控制程度。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“三公经费”控制率=（“三公经费”实际支出数/“三公经费”预算安排数）×100%。为100%的计3分，每超过1个百分点扣0.5分，扣完为止。</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3</w:t>
            </w:r>
          </w:p>
        </w:tc>
      </w:tr>
      <w:tr>
        <w:tblPrEx>
          <w:tblCellMar>
            <w:top w:w="0" w:type="dxa"/>
            <w:left w:w="0" w:type="dxa"/>
            <w:bottom w:w="0" w:type="dxa"/>
            <w:right w:w="0" w:type="dxa"/>
          </w:tblCellMar>
        </w:tblPrEx>
        <w:trPr>
          <w:trHeight w:val="1283"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政府采购</w:t>
            </w:r>
          </w:p>
          <w:p>
            <w:pPr>
              <w:pStyle w:val="4"/>
              <w:spacing w:before="0" w:beforeAutospacing="0" w:after="0" w:afterAutospacing="0" w:line="600" w:lineRule="exact"/>
              <w:jc w:val="center"/>
              <w:rPr>
                <w:color w:val="000000"/>
                <w:sz w:val="21"/>
                <w:szCs w:val="21"/>
              </w:rPr>
            </w:pPr>
            <w:r>
              <w:rPr>
                <w:rFonts w:hint="eastAsia"/>
                <w:color w:val="000000"/>
                <w:sz w:val="21"/>
                <w:szCs w:val="21"/>
              </w:rPr>
              <w:t>执行率</w:t>
            </w:r>
          </w:p>
          <w:p>
            <w:pPr>
              <w:pStyle w:val="4"/>
              <w:spacing w:before="0" w:beforeAutospacing="0" w:after="0" w:afterAutospacing="0" w:line="600" w:lineRule="exact"/>
              <w:jc w:val="center"/>
              <w:rPr>
                <w:sz w:val="21"/>
                <w:szCs w:val="21"/>
              </w:rPr>
            </w:pPr>
            <w:r>
              <w:rPr>
                <w:rFonts w:hint="eastAsia"/>
                <w:color w:val="000000"/>
                <w:sz w:val="21"/>
                <w:szCs w:val="21"/>
              </w:rPr>
              <w:t>（4分）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部门本年度实际政府采购金额与年初政府采购预算的比率，用以反映和考核部门政府采购预算执行情况。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952"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预算</w:t>
            </w:r>
          </w:p>
          <w:p>
            <w:pPr>
              <w:pStyle w:val="4"/>
              <w:spacing w:before="0" w:beforeAutospacing="0" w:after="0" w:afterAutospacing="0" w:line="600" w:lineRule="exact"/>
              <w:jc w:val="center"/>
              <w:rPr>
                <w:sz w:val="21"/>
                <w:szCs w:val="21"/>
              </w:rPr>
            </w:pPr>
            <w:r>
              <w:rPr>
                <w:rFonts w:hint="eastAsia"/>
                <w:color w:val="000000"/>
                <w:sz w:val="21"/>
                <w:szCs w:val="21"/>
              </w:rPr>
              <w:t>管理</w:t>
            </w:r>
          </w:p>
          <w:p>
            <w:pPr>
              <w:pStyle w:val="4"/>
              <w:spacing w:before="0" w:beforeAutospacing="0" w:after="0" w:afterAutospacing="0" w:line="600" w:lineRule="exact"/>
              <w:jc w:val="center"/>
              <w:rPr>
                <w:sz w:val="21"/>
                <w:szCs w:val="21"/>
              </w:rPr>
            </w:pPr>
            <w:r>
              <w:rPr>
                <w:rFonts w:hint="eastAsia"/>
                <w:color w:val="000000"/>
                <w:sz w:val="21"/>
                <w:szCs w:val="21"/>
              </w:rPr>
              <w:t>(12分)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管理制度</w:t>
            </w:r>
          </w:p>
          <w:p>
            <w:pPr>
              <w:pStyle w:val="4"/>
              <w:spacing w:before="0" w:beforeAutospacing="0" w:after="0" w:afterAutospacing="0" w:line="600" w:lineRule="exact"/>
              <w:jc w:val="center"/>
              <w:rPr>
                <w:color w:val="000000"/>
                <w:sz w:val="21"/>
                <w:szCs w:val="21"/>
              </w:rPr>
            </w:pPr>
            <w:r>
              <w:rPr>
                <w:rFonts w:hint="eastAsia"/>
                <w:color w:val="000000"/>
                <w:sz w:val="21"/>
                <w:szCs w:val="21"/>
              </w:rPr>
              <w:t>健全性</w:t>
            </w:r>
          </w:p>
          <w:p>
            <w:pPr>
              <w:pStyle w:val="4"/>
              <w:spacing w:before="0" w:beforeAutospacing="0" w:after="0" w:afterAutospacing="0" w:line="600" w:lineRule="exact"/>
              <w:jc w:val="center"/>
              <w:rPr>
                <w:sz w:val="21"/>
                <w:szCs w:val="21"/>
              </w:rPr>
            </w:pPr>
            <w:r>
              <w:rPr>
                <w:rFonts w:hint="eastAsia"/>
                <w:color w:val="000000"/>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部门为加强预算管理、规范财务行为而制定的管理制度是否健全完整，用以反映和考核部门预算管理制度对完成主要职责或促进事业发展的保障情况。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已制定或具有预算资金管理办法、内部财务管理制度、会计核算制度等管理制度计1分；相关管理制度合法、合规、完整计0.5分；相关管理制度得到有效执行计0.5分。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1605"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资金使用</w:t>
            </w:r>
          </w:p>
          <w:p>
            <w:pPr>
              <w:pStyle w:val="4"/>
              <w:spacing w:before="0" w:beforeAutospacing="0" w:after="0" w:afterAutospacing="0" w:line="600" w:lineRule="exact"/>
              <w:jc w:val="center"/>
              <w:rPr>
                <w:color w:val="000000"/>
                <w:sz w:val="21"/>
                <w:szCs w:val="21"/>
              </w:rPr>
            </w:pPr>
            <w:r>
              <w:rPr>
                <w:rFonts w:hint="eastAsia"/>
                <w:color w:val="000000"/>
                <w:sz w:val="21"/>
                <w:szCs w:val="21"/>
              </w:rPr>
              <w:t>合规性</w:t>
            </w:r>
          </w:p>
          <w:p>
            <w:pPr>
              <w:pStyle w:val="4"/>
              <w:spacing w:before="0" w:beforeAutospacing="0" w:after="0" w:afterAutospacing="0" w:line="600" w:lineRule="exact"/>
              <w:jc w:val="center"/>
              <w:rPr>
                <w:sz w:val="21"/>
                <w:szCs w:val="21"/>
              </w:rPr>
            </w:pPr>
            <w:r>
              <w:rPr>
                <w:rFonts w:hint="eastAsia"/>
                <w:color w:val="000000"/>
                <w:sz w:val="21"/>
                <w:szCs w:val="21"/>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部门使用预算资金是否符合相关的预算财务管理制度的规定，用以反映和考核部门预算资金的规范运行情况。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color w:val="000000"/>
                <w:sz w:val="21"/>
                <w:szCs w:val="21"/>
              </w:rPr>
            </w:pPr>
            <w:r>
              <w:rPr>
                <w:rFonts w:hint="eastAsia"/>
                <w:color w:val="000000"/>
                <w:sz w:val="21"/>
                <w:szCs w:val="21"/>
              </w:rPr>
              <w:t>①符合国家财经法规和财务管理制度规定以及有关专项资金管理办法的规定计1分；</w:t>
            </w:r>
          </w:p>
          <w:p>
            <w:pPr>
              <w:pStyle w:val="4"/>
              <w:spacing w:before="0" w:beforeAutospacing="0" w:after="0" w:afterAutospacing="0" w:line="600" w:lineRule="exact"/>
              <w:jc w:val="both"/>
              <w:rPr>
                <w:color w:val="000000"/>
                <w:sz w:val="21"/>
                <w:szCs w:val="21"/>
              </w:rPr>
            </w:pPr>
            <w:r>
              <w:rPr>
                <w:rFonts w:hint="eastAsia"/>
                <w:color w:val="000000"/>
                <w:sz w:val="21"/>
                <w:szCs w:val="21"/>
              </w:rPr>
              <w:t>②资金的拨付有完整的审批程序和手续计1分；</w:t>
            </w:r>
          </w:p>
          <w:p>
            <w:pPr>
              <w:pStyle w:val="4"/>
              <w:spacing w:before="0" w:beforeAutospacing="0" w:after="0" w:afterAutospacing="0" w:line="600" w:lineRule="exact"/>
              <w:jc w:val="both"/>
              <w:rPr>
                <w:color w:val="000000"/>
                <w:sz w:val="21"/>
                <w:szCs w:val="21"/>
              </w:rPr>
            </w:pPr>
            <w:r>
              <w:rPr>
                <w:rFonts w:hint="eastAsia"/>
                <w:color w:val="000000"/>
                <w:sz w:val="21"/>
                <w:szCs w:val="21"/>
              </w:rPr>
              <w:t>③项目的重大开支经过评估论证计1分；</w:t>
            </w:r>
          </w:p>
          <w:p>
            <w:pPr>
              <w:pStyle w:val="4"/>
              <w:spacing w:before="0" w:beforeAutospacing="0" w:after="0" w:afterAutospacing="0" w:line="600" w:lineRule="exact"/>
              <w:jc w:val="both"/>
              <w:rPr>
                <w:color w:val="000000"/>
                <w:sz w:val="21"/>
                <w:szCs w:val="21"/>
              </w:rPr>
            </w:pPr>
            <w:r>
              <w:rPr>
                <w:rFonts w:hint="eastAsia"/>
                <w:color w:val="000000"/>
                <w:sz w:val="21"/>
                <w:szCs w:val="21"/>
              </w:rPr>
              <w:t>④符合部门预算批复的用途计1分；</w:t>
            </w:r>
          </w:p>
          <w:p>
            <w:pPr>
              <w:pStyle w:val="4"/>
              <w:spacing w:before="0" w:beforeAutospacing="0" w:after="0" w:afterAutospacing="0" w:line="600" w:lineRule="exact"/>
              <w:jc w:val="both"/>
              <w:rPr>
                <w:sz w:val="21"/>
                <w:szCs w:val="21"/>
              </w:rPr>
            </w:pPr>
            <w:r>
              <w:rPr>
                <w:rFonts w:hint="eastAsia"/>
                <w:color w:val="000000"/>
                <w:sz w:val="21"/>
                <w:szCs w:val="21"/>
              </w:rPr>
              <w:t>⑤不存在截留、挤占、挪用、虚列支出等情况计1分。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预决算信</w:t>
            </w:r>
          </w:p>
          <w:p>
            <w:pPr>
              <w:pStyle w:val="4"/>
              <w:spacing w:before="0" w:beforeAutospacing="0" w:after="0" w:afterAutospacing="0" w:line="600" w:lineRule="exact"/>
              <w:jc w:val="center"/>
              <w:rPr>
                <w:sz w:val="21"/>
                <w:szCs w:val="21"/>
              </w:rPr>
            </w:pPr>
            <w:r>
              <w:rPr>
                <w:rFonts w:hint="eastAsia"/>
                <w:color w:val="000000"/>
                <w:sz w:val="21"/>
                <w:szCs w:val="21"/>
              </w:rPr>
              <w:t>息公开性（2分）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部门是否按照政府信息公开有关规定公开相关预决算信息，用以反映和考核部门预决算管理的公开透明情况。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color w:val="000000"/>
                <w:sz w:val="21"/>
                <w:szCs w:val="21"/>
              </w:rPr>
            </w:pPr>
            <w:r>
              <w:rPr>
                <w:rFonts w:hint="eastAsia"/>
                <w:color w:val="000000"/>
                <w:sz w:val="21"/>
                <w:szCs w:val="21"/>
              </w:rPr>
              <w:t>①按规定内容公开预决算信息计1分；</w:t>
            </w:r>
          </w:p>
          <w:p>
            <w:pPr>
              <w:pStyle w:val="4"/>
              <w:spacing w:before="0" w:beforeAutospacing="0" w:after="0" w:afterAutospacing="0" w:line="600" w:lineRule="exact"/>
              <w:jc w:val="both"/>
              <w:rPr>
                <w:sz w:val="21"/>
                <w:szCs w:val="21"/>
              </w:rPr>
            </w:pPr>
            <w:r>
              <w:rPr>
                <w:rFonts w:hint="eastAsia"/>
                <w:color w:val="000000"/>
                <w:sz w:val="21"/>
                <w:szCs w:val="21"/>
              </w:rPr>
              <w:t>②按规定时限公开预决算信息计1分。预决算信息是指与部门预算、执行、决算、监督、绩效等管理相关的信息。</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93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基础信息</w:t>
            </w:r>
          </w:p>
          <w:p>
            <w:pPr>
              <w:pStyle w:val="4"/>
              <w:spacing w:before="0" w:beforeAutospacing="0" w:after="0" w:afterAutospacing="0" w:line="600" w:lineRule="exact"/>
              <w:jc w:val="center"/>
              <w:rPr>
                <w:color w:val="000000"/>
                <w:sz w:val="21"/>
                <w:szCs w:val="21"/>
              </w:rPr>
            </w:pPr>
            <w:r>
              <w:rPr>
                <w:rFonts w:hint="eastAsia"/>
                <w:color w:val="000000"/>
                <w:sz w:val="21"/>
                <w:szCs w:val="21"/>
              </w:rPr>
              <w:t>完善性</w:t>
            </w:r>
          </w:p>
          <w:p>
            <w:pPr>
              <w:pStyle w:val="4"/>
              <w:spacing w:before="0" w:beforeAutospacing="0" w:after="0" w:afterAutospacing="0" w:line="600" w:lineRule="exact"/>
              <w:jc w:val="center"/>
              <w:rPr>
                <w:sz w:val="21"/>
                <w:szCs w:val="21"/>
              </w:rPr>
            </w:pPr>
            <w:r>
              <w:rPr>
                <w:rFonts w:hint="eastAsia"/>
                <w:color w:val="000000"/>
                <w:sz w:val="21"/>
                <w:szCs w:val="21"/>
              </w:rPr>
              <w:t>（3分）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部门基础信息是否完善，用以反映和考核基础信息对预算管理工作的支撑情况。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color w:val="000000"/>
                <w:sz w:val="21"/>
                <w:szCs w:val="21"/>
              </w:rPr>
            </w:pPr>
            <w:r>
              <w:rPr>
                <w:rFonts w:hint="eastAsia"/>
                <w:color w:val="000000"/>
                <w:sz w:val="21"/>
                <w:szCs w:val="21"/>
              </w:rPr>
              <w:t>①基础数据信息和会计信息资料真实计1分；</w:t>
            </w:r>
          </w:p>
          <w:p>
            <w:pPr>
              <w:pStyle w:val="4"/>
              <w:spacing w:before="0" w:beforeAutospacing="0" w:after="0" w:afterAutospacing="0" w:line="600" w:lineRule="exact"/>
              <w:jc w:val="both"/>
              <w:rPr>
                <w:color w:val="000000"/>
                <w:sz w:val="21"/>
                <w:szCs w:val="21"/>
              </w:rPr>
            </w:pPr>
            <w:r>
              <w:rPr>
                <w:rFonts w:hint="eastAsia"/>
                <w:color w:val="000000"/>
                <w:sz w:val="21"/>
                <w:szCs w:val="21"/>
              </w:rPr>
              <w:t>②基础数据信息和会计信息资料完整计1分；</w:t>
            </w:r>
          </w:p>
          <w:p>
            <w:pPr>
              <w:pStyle w:val="4"/>
              <w:spacing w:before="0" w:beforeAutospacing="0" w:after="0" w:afterAutospacing="0" w:line="600" w:lineRule="exact"/>
              <w:jc w:val="both"/>
              <w:rPr>
                <w:sz w:val="21"/>
                <w:szCs w:val="21"/>
              </w:rPr>
            </w:pPr>
            <w:r>
              <w:rPr>
                <w:rFonts w:hint="eastAsia"/>
                <w:color w:val="000000"/>
                <w:sz w:val="21"/>
                <w:szCs w:val="21"/>
              </w:rPr>
              <w:t>③基础数据信息和会计信息资料准确计1分。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3</w:t>
            </w:r>
          </w:p>
        </w:tc>
      </w:tr>
      <w:tr>
        <w:tblPrEx>
          <w:tblCellMar>
            <w:top w:w="0" w:type="dxa"/>
            <w:left w:w="0" w:type="dxa"/>
            <w:bottom w:w="0" w:type="dxa"/>
            <w:right w:w="0" w:type="dxa"/>
          </w:tblCellMar>
        </w:tblPrEx>
        <w:trPr>
          <w:trHeight w:val="968"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rFonts w:hint="eastAsia" w:eastAsiaTheme="minorEastAsia"/>
                <w:color w:val="000000"/>
                <w:sz w:val="21"/>
                <w:szCs w:val="21"/>
                <w:lang w:eastAsia="zh-CN"/>
              </w:rPr>
            </w:pPr>
            <w:r>
              <w:rPr>
                <w:rFonts w:hint="eastAsia"/>
                <w:color w:val="000000"/>
                <w:sz w:val="21"/>
                <w:szCs w:val="21"/>
              </w:rPr>
              <w:t>资产</w:t>
            </w:r>
          </w:p>
          <w:p>
            <w:pPr>
              <w:pStyle w:val="4"/>
              <w:spacing w:before="0" w:beforeAutospacing="0" w:after="0" w:afterAutospacing="0" w:line="600" w:lineRule="exact"/>
              <w:jc w:val="center"/>
              <w:rPr>
                <w:sz w:val="21"/>
                <w:szCs w:val="21"/>
              </w:rPr>
            </w:pPr>
            <w:r>
              <w:rPr>
                <w:rFonts w:hint="eastAsia"/>
                <w:color w:val="000000"/>
                <w:sz w:val="21"/>
                <w:szCs w:val="21"/>
              </w:rPr>
              <w:t>管理</w:t>
            </w:r>
          </w:p>
          <w:p>
            <w:pPr>
              <w:pStyle w:val="4"/>
              <w:spacing w:before="0" w:beforeAutospacing="0" w:after="0" w:afterAutospacing="0" w:line="600" w:lineRule="exact"/>
              <w:jc w:val="center"/>
              <w:rPr>
                <w:sz w:val="21"/>
                <w:szCs w:val="21"/>
              </w:rPr>
            </w:pPr>
            <w:r>
              <w:rPr>
                <w:rFonts w:hint="eastAsia"/>
                <w:color w:val="000000"/>
                <w:sz w:val="21"/>
                <w:szCs w:val="21"/>
              </w:rPr>
              <w:t>（5分）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管理制度</w:t>
            </w:r>
          </w:p>
          <w:p>
            <w:pPr>
              <w:pStyle w:val="4"/>
              <w:spacing w:before="0" w:beforeAutospacing="0" w:after="0" w:afterAutospacing="0" w:line="600" w:lineRule="exact"/>
              <w:jc w:val="center"/>
              <w:rPr>
                <w:color w:val="000000"/>
                <w:sz w:val="21"/>
                <w:szCs w:val="21"/>
              </w:rPr>
            </w:pPr>
            <w:r>
              <w:rPr>
                <w:rFonts w:hint="eastAsia"/>
                <w:color w:val="000000"/>
                <w:sz w:val="21"/>
                <w:szCs w:val="21"/>
              </w:rPr>
              <w:t>健全性</w:t>
            </w:r>
          </w:p>
          <w:p>
            <w:pPr>
              <w:pStyle w:val="4"/>
              <w:spacing w:before="0" w:beforeAutospacing="0" w:after="0" w:afterAutospacing="0" w:line="600" w:lineRule="exact"/>
              <w:jc w:val="center"/>
              <w:rPr>
                <w:sz w:val="21"/>
                <w:szCs w:val="21"/>
              </w:rPr>
            </w:pPr>
            <w:r>
              <w:rPr>
                <w:rFonts w:hint="eastAsia"/>
                <w:color w:val="000000"/>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部门为加强资产管理、规范资产管理行为而制定的管理制度是否健全完整，用以反映和考核部门资产管理制度对完成主要职责或促进社会发展的保障情况。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color w:val="000000"/>
                <w:sz w:val="21"/>
                <w:szCs w:val="21"/>
              </w:rPr>
            </w:pPr>
            <w:r>
              <w:rPr>
                <w:rFonts w:hint="eastAsia"/>
                <w:color w:val="000000"/>
                <w:sz w:val="21"/>
                <w:szCs w:val="21"/>
              </w:rPr>
              <w:t>①制定或具有资产管理制度计1分；</w:t>
            </w:r>
          </w:p>
          <w:p>
            <w:pPr>
              <w:pStyle w:val="4"/>
              <w:spacing w:before="0" w:beforeAutospacing="0" w:after="0" w:afterAutospacing="0" w:line="600" w:lineRule="exact"/>
              <w:jc w:val="both"/>
              <w:rPr>
                <w:color w:val="000000"/>
                <w:sz w:val="21"/>
                <w:szCs w:val="21"/>
              </w:rPr>
            </w:pPr>
            <w:r>
              <w:rPr>
                <w:rFonts w:hint="eastAsia"/>
                <w:color w:val="000000"/>
                <w:sz w:val="21"/>
                <w:szCs w:val="21"/>
              </w:rPr>
              <w:t>②相关资金管理制度合法、合规、完整计0.5分；</w:t>
            </w:r>
          </w:p>
          <w:p>
            <w:pPr>
              <w:pStyle w:val="4"/>
              <w:spacing w:before="0" w:beforeAutospacing="0" w:after="0" w:afterAutospacing="0" w:line="600" w:lineRule="exact"/>
              <w:jc w:val="both"/>
              <w:rPr>
                <w:sz w:val="21"/>
                <w:szCs w:val="21"/>
              </w:rPr>
            </w:pPr>
            <w:r>
              <w:rPr>
                <w:rFonts w:hint="eastAsia"/>
                <w:color w:val="000000"/>
                <w:sz w:val="21"/>
                <w:szCs w:val="21"/>
              </w:rPr>
              <w:t>③相关资产管理制度得到有效执行计0.5分。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1566"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资产管理</w:t>
            </w:r>
          </w:p>
          <w:p>
            <w:pPr>
              <w:pStyle w:val="4"/>
              <w:spacing w:before="0" w:beforeAutospacing="0" w:after="0" w:afterAutospacing="0" w:line="600" w:lineRule="exact"/>
              <w:jc w:val="center"/>
              <w:rPr>
                <w:color w:val="000000"/>
                <w:sz w:val="21"/>
                <w:szCs w:val="21"/>
              </w:rPr>
            </w:pPr>
            <w:r>
              <w:rPr>
                <w:rFonts w:hint="eastAsia"/>
                <w:color w:val="000000"/>
                <w:sz w:val="21"/>
                <w:szCs w:val="21"/>
              </w:rPr>
              <w:t>安全性</w:t>
            </w:r>
          </w:p>
          <w:p>
            <w:pPr>
              <w:pStyle w:val="4"/>
              <w:spacing w:before="0" w:beforeAutospacing="0" w:after="0" w:afterAutospacing="0" w:line="600" w:lineRule="exact"/>
              <w:jc w:val="center"/>
              <w:rPr>
                <w:sz w:val="21"/>
                <w:szCs w:val="21"/>
              </w:rPr>
            </w:pPr>
            <w:r>
              <w:rPr>
                <w:rFonts w:hint="eastAsia"/>
                <w:color w:val="000000"/>
                <w:sz w:val="21"/>
                <w:szCs w:val="21"/>
              </w:rPr>
              <w:t>（2分）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761"/>
                <w:tab w:val="left" w:pos="2604"/>
              </w:tabs>
              <w:spacing w:before="0" w:beforeAutospacing="0" w:after="0" w:afterAutospacing="0" w:line="600" w:lineRule="exact"/>
              <w:jc w:val="both"/>
              <w:rPr>
                <w:sz w:val="21"/>
                <w:szCs w:val="21"/>
              </w:rPr>
            </w:pPr>
            <w:r>
              <w:rPr>
                <w:rFonts w:hint="eastAsia"/>
                <w:color w:val="000000"/>
                <w:sz w:val="21"/>
                <w:szCs w:val="21"/>
              </w:rPr>
              <w:t>部门的资产是否保存完整、使用合规、配置合理、处置规范、收入及时足额上缴，用以反映和考核部门资产安全运行情况。</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color w:val="000000"/>
                <w:sz w:val="21"/>
                <w:szCs w:val="21"/>
              </w:rPr>
            </w:pPr>
            <w:r>
              <w:rPr>
                <w:rFonts w:hint="eastAsia"/>
                <w:color w:val="000000"/>
                <w:sz w:val="21"/>
                <w:szCs w:val="21"/>
              </w:rPr>
              <w:t>①资产保存完整计0.4分；</w:t>
            </w:r>
          </w:p>
          <w:p>
            <w:pPr>
              <w:pStyle w:val="4"/>
              <w:spacing w:before="0" w:beforeAutospacing="0" w:after="0" w:afterAutospacing="0" w:line="600" w:lineRule="exact"/>
              <w:jc w:val="both"/>
              <w:rPr>
                <w:color w:val="000000"/>
                <w:sz w:val="21"/>
                <w:szCs w:val="21"/>
              </w:rPr>
            </w:pPr>
            <w:r>
              <w:rPr>
                <w:rFonts w:hint="eastAsia"/>
                <w:color w:val="000000"/>
                <w:sz w:val="21"/>
                <w:szCs w:val="21"/>
              </w:rPr>
              <w:t>②资产配置合理计0.4分；</w:t>
            </w:r>
          </w:p>
          <w:p>
            <w:pPr>
              <w:pStyle w:val="4"/>
              <w:spacing w:before="0" w:beforeAutospacing="0" w:after="0" w:afterAutospacing="0" w:line="600" w:lineRule="exact"/>
              <w:jc w:val="both"/>
              <w:rPr>
                <w:color w:val="000000"/>
                <w:sz w:val="21"/>
                <w:szCs w:val="21"/>
              </w:rPr>
            </w:pPr>
            <w:r>
              <w:rPr>
                <w:rFonts w:hint="eastAsia"/>
                <w:color w:val="000000"/>
                <w:sz w:val="21"/>
                <w:szCs w:val="21"/>
              </w:rPr>
              <w:t>③资产处置规范计0.4分；</w:t>
            </w:r>
          </w:p>
          <w:p>
            <w:pPr>
              <w:pStyle w:val="4"/>
              <w:spacing w:before="0" w:beforeAutospacing="0" w:after="0" w:afterAutospacing="0" w:line="600" w:lineRule="exact"/>
              <w:jc w:val="both"/>
              <w:rPr>
                <w:color w:val="000000"/>
                <w:sz w:val="21"/>
                <w:szCs w:val="21"/>
              </w:rPr>
            </w:pPr>
            <w:r>
              <w:rPr>
                <w:rFonts w:hint="eastAsia"/>
                <w:color w:val="000000"/>
                <w:sz w:val="21"/>
                <w:szCs w:val="21"/>
              </w:rPr>
              <w:t>④资产账务管理合规、</w:t>
            </w:r>
            <w:r>
              <w:rPr>
                <w:rFonts w:hint="eastAsia"/>
                <w:color w:val="000000"/>
                <w:sz w:val="21"/>
                <w:szCs w:val="21"/>
                <w:lang w:eastAsia="zh-CN"/>
              </w:rPr>
              <w:t>账实相符</w:t>
            </w:r>
            <w:r>
              <w:rPr>
                <w:rFonts w:hint="eastAsia"/>
                <w:color w:val="000000"/>
                <w:sz w:val="21"/>
                <w:szCs w:val="21"/>
              </w:rPr>
              <w:t>计0.4分；</w:t>
            </w:r>
          </w:p>
          <w:p>
            <w:pPr>
              <w:pStyle w:val="4"/>
              <w:spacing w:before="0" w:beforeAutospacing="0" w:after="0" w:afterAutospacing="0" w:line="600" w:lineRule="exact"/>
              <w:jc w:val="both"/>
              <w:rPr>
                <w:sz w:val="21"/>
                <w:szCs w:val="21"/>
              </w:rPr>
            </w:pPr>
            <w:r>
              <w:rPr>
                <w:rFonts w:hint="eastAsia"/>
                <w:color w:val="000000"/>
                <w:sz w:val="21"/>
                <w:szCs w:val="21"/>
              </w:rPr>
              <w:t>⑤资产有偿使用及处置收入及时足额上缴计0.4分。</w:t>
            </w:r>
          </w:p>
        </w:tc>
        <w:tc>
          <w:tcPr>
            <w:tcW w:w="768" w:type="dxa"/>
            <w:tcBorders>
              <w:top w:val="nil"/>
              <w:left w:val="nil"/>
              <w:bottom w:val="single" w:color="auto" w:sz="8" w:space="0"/>
              <w:right w:val="single" w:color="auto" w:sz="8" w:space="0"/>
            </w:tcBorders>
            <w:vAlign w:val="center"/>
          </w:tcPr>
          <w:p>
            <w:pPr>
              <w:pStyle w:val="4"/>
              <w:tabs>
                <w:tab w:val="left" w:pos="761"/>
                <w:tab w:val="left" w:pos="2604"/>
              </w:tabs>
              <w:spacing w:before="0" w:beforeAutospacing="0" w:after="0" w:afterAutospacing="0" w:line="600" w:lineRule="exact"/>
              <w:jc w:val="center"/>
              <w:rPr>
                <w:rFonts w:eastAsia="宋体"/>
              </w:rPr>
            </w:pPr>
            <w:r>
              <w:rPr>
                <w:rFonts w:hint="eastAsia"/>
              </w:rPr>
              <w:t>2</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固定资产</w:t>
            </w:r>
          </w:p>
          <w:p>
            <w:pPr>
              <w:pStyle w:val="4"/>
              <w:spacing w:before="0" w:beforeAutospacing="0" w:after="0" w:afterAutospacing="0" w:line="600" w:lineRule="exact"/>
              <w:jc w:val="center"/>
              <w:rPr>
                <w:color w:val="000000"/>
                <w:sz w:val="21"/>
                <w:szCs w:val="21"/>
              </w:rPr>
            </w:pPr>
            <w:r>
              <w:rPr>
                <w:rFonts w:hint="eastAsia"/>
                <w:color w:val="000000"/>
                <w:sz w:val="21"/>
                <w:szCs w:val="21"/>
              </w:rPr>
              <w:t>利用率</w:t>
            </w:r>
          </w:p>
          <w:p>
            <w:pPr>
              <w:pStyle w:val="4"/>
              <w:spacing w:before="0" w:beforeAutospacing="0" w:after="0" w:afterAutospacing="0" w:line="600" w:lineRule="exact"/>
              <w:jc w:val="center"/>
              <w:rPr>
                <w:sz w:val="21"/>
                <w:szCs w:val="21"/>
              </w:rPr>
            </w:pPr>
            <w:r>
              <w:rPr>
                <w:rFonts w:hint="eastAsia"/>
                <w:color w:val="000000"/>
                <w:sz w:val="21"/>
                <w:szCs w:val="21"/>
              </w:rPr>
              <w:t>（1分）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部门实际在用固定资产总额与所有固定资产总额的比率，用以反映和考核部门固定资产使用效率程度。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固定资产利用率=（实际在用固定资产总额/所有固定资产总额）×100%。利用率为100%的计1分，每降1个百分点扣0.1分，扣完为止。</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1</w:t>
            </w:r>
          </w:p>
        </w:tc>
      </w:tr>
      <w:tr>
        <w:tblPrEx>
          <w:tblCellMar>
            <w:top w:w="0" w:type="dxa"/>
            <w:left w:w="0" w:type="dxa"/>
            <w:bottom w:w="0" w:type="dxa"/>
            <w:right w:w="0" w:type="dxa"/>
          </w:tblCellMar>
        </w:tblPrEx>
        <w:trPr>
          <w:trHeight w:val="894"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color w:val="000000"/>
                <w:sz w:val="21"/>
                <w:szCs w:val="21"/>
              </w:rPr>
            </w:pPr>
            <w:r>
              <w:rPr>
                <w:rFonts w:hint="eastAsia"/>
                <w:color w:val="000000"/>
                <w:sz w:val="21"/>
                <w:szCs w:val="21"/>
              </w:rPr>
              <w:t>产出</w:t>
            </w:r>
          </w:p>
          <w:p>
            <w:pPr>
              <w:pStyle w:val="4"/>
              <w:spacing w:before="0" w:beforeAutospacing="0" w:after="0" w:afterAutospacing="0" w:line="600" w:lineRule="exact"/>
              <w:jc w:val="center"/>
              <w:rPr>
                <w:sz w:val="21"/>
                <w:szCs w:val="21"/>
              </w:rPr>
            </w:pPr>
            <w:r>
              <w:rPr>
                <w:rFonts w:hint="eastAsia"/>
                <w:color w:val="000000"/>
                <w:sz w:val="21"/>
                <w:szCs w:val="21"/>
              </w:rPr>
              <w:t>(20分)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rFonts w:hint="eastAsia" w:eastAsiaTheme="minorEastAsia"/>
                <w:color w:val="000000"/>
                <w:sz w:val="21"/>
                <w:szCs w:val="21"/>
                <w:lang w:eastAsia="zh-CN"/>
              </w:rPr>
            </w:pPr>
            <w:r>
              <w:rPr>
                <w:rFonts w:hint="eastAsia"/>
                <w:color w:val="000000"/>
                <w:sz w:val="21"/>
                <w:szCs w:val="21"/>
              </w:rPr>
              <w:t>职责</w:t>
            </w:r>
          </w:p>
          <w:p>
            <w:pPr>
              <w:pStyle w:val="4"/>
              <w:spacing w:before="0" w:beforeAutospacing="0" w:after="0" w:afterAutospacing="0" w:line="600" w:lineRule="exact"/>
              <w:jc w:val="center"/>
              <w:rPr>
                <w:sz w:val="21"/>
                <w:szCs w:val="21"/>
              </w:rPr>
            </w:pPr>
            <w:r>
              <w:rPr>
                <w:rFonts w:hint="eastAsia"/>
                <w:color w:val="000000"/>
                <w:sz w:val="21"/>
                <w:szCs w:val="21"/>
              </w:rPr>
              <w:t>履行</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实际完成率（5分）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部门履行职责而实际完成工作数与计划工作数的比率，用以反映和考核部门履职工作任务目标的实现程度。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实际完成率得分=完成县委县政府绩效考核得分或上级主管部门考核指标得分/指标分值*5分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86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完成及时率（4分）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部门在规定时限内及时完成的实际工作数与计划工作数的比率,用以反映和考核部门履职时效目标的实现程度。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210" w:afterAutospacing="0" w:line="600" w:lineRule="exact"/>
              <w:jc w:val="both"/>
              <w:rPr>
                <w:sz w:val="21"/>
                <w:szCs w:val="21"/>
              </w:rPr>
            </w:pPr>
            <w:r>
              <w:rPr>
                <w:rFonts w:hint="eastAsia"/>
                <w:color w:val="000000"/>
                <w:sz w:val="21"/>
                <w:szCs w:val="21"/>
              </w:rPr>
              <w:t>完成及时率=（及时完成实际工作数/计划工作数）×100%。1-4季度各得1分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4</w:t>
            </w:r>
          </w:p>
        </w:tc>
      </w:tr>
      <w:tr>
        <w:tblPrEx>
          <w:tblCellMar>
            <w:top w:w="0" w:type="dxa"/>
            <w:left w:w="0" w:type="dxa"/>
            <w:bottom w:w="0" w:type="dxa"/>
            <w:right w:w="0" w:type="dxa"/>
          </w:tblCellMar>
        </w:tblPrEx>
        <w:trPr>
          <w:trHeight w:val="80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质量达标率（5分）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达到质量标准（绩效标准值）的实际工作数与计划工作数的比率,用以反映和考核部门履职质量目标的实现程度。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质量达标率=（质量达标实际工作数/计划工作数）×100%。实际得分=达标率*5分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重点工作</w:t>
            </w:r>
          </w:p>
          <w:p>
            <w:pPr>
              <w:pStyle w:val="4"/>
              <w:spacing w:before="0" w:beforeAutospacing="0" w:after="0" w:afterAutospacing="0" w:line="600" w:lineRule="exact"/>
              <w:jc w:val="center"/>
              <w:rPr>
                <w:color w:val="000000"/>
                <w:sz w:val="21"/>
                <w:szCs w:val="21"/>
              </w:rPr>
            </w:pPr>
            <w:r>
              <w:rPr>
                <w:rFonts w:hint="eastAsia"/>
                <w:color w:val="000000"/>
                <w:sz w:val="21"/>
                <w:szCs w:val="21"/>
              </w:rPr>
              <w:t>办结率</w:t>
            </w:r>
          </w:p>
          <w:p>
            <w:pPr>
              <w:pStyle w:val="4"/>
              <w:spacing w:before="0" w:beforeAutospacing="0" w:after="0" w:afterAutospacing="0" w:line="600" w:lineRule="exact"/>
              <w:jc w:val="center"/>
              <w:rPr>
                <w:sz w:val="21"/>
                <w:szCs w:val="21"/>
              </w:rPr>
            </w:pPr>
            <w:r>
              <w:rPr>
                <w:rFonts w:hint="eastAsia"/>
                <w:color w:val="000000"/>
                <w:sz w:val="21"/>
                <w:szCs w:val="21"/>
              </w:rPr>
              <w:t>（6分）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部门年度重点工作实际完成数与交办或下达数的比率，用以反映部门对重点工作的办理落实程度。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重点工作办结率=（重点工作实际完成数/交办或下达数）×100%。实际得分=办结率*6分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6</w:t>
            </w:r>
          </w:p>
        </w:tc>
      </w:tr>
      <w:tr>
        <w:tblPrEx>
          <w:tblCellMar>
            <w:top w:w="0" w:type="dxa"/>
            <w:left w:w="0" w:type="dxa"/>
            <w:bottom w:w="0" w:type="dxa"/>
            <w:right w:w="0" w:type="dxa"/>
          </w:tblCellMar>
        </w:tblPrEx>
        <w:trPr>
          <w:trHeight w:val="644" w:hRule="atLeast"/>
          <w:jc w:val="center"/>
        </w:trPr>
        <w:tc>
          <w:tcPr>
            <w:tcW w:w="690"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color w:val="000000"/>
                <w:sz w:val="21"/>
                <w:szCs w:val="21"/>
              </w:rPr>
            </w:pPr>
            <w:r>
              <w:rPr>
                <w:rFonts w:hint="eastAsia"/>
                <w:color w:val="000000"/>
                <w:sz w:val="21"/>
                <w:szCs w:val="21"/>
              </w:rPr>
              <w:t>效果</w:t>
            </w:r>
          </w:p>
          <w:p>
            <w:pPr>
              <w:pStyle w:val="4"/>
              <w:spacing w:before="0" w:beforeAutospacing="0" w:after="0" w:afterAutospacing="0" w:line="600" w:lineRule="exact"/>
              <w:jc w:val="center"/>
              <w:rPr>
                <w:sz w:val="21"/>
                <w:szCs w:val="21"/>
              </w:rPr>
            </w:pPr>
            <w:r>
              <w:rPr>
                <w:rFonts w:hint="eastAsia"/>
                <w:color w:val="000000"/>
                <w:sz w:val="21"/>
                <w:szCs w:val="21"/>
              </w:rPr>
              <w:t>(20分)</w:t>
            </w:r>
          </w:p>
        </w:tc>
        <w:tc>
          <w:tcPr>
            <w:tcW w:w="704" w:type="dxa"/>
            <w:vMerge w:val="restart"/>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rFonts w:hint="eastAsia" w:eastAsiaTheme="minorEastAsia"/>
                <w:color w:val="000000"/>
                <w:sz w:val="21"/>
                <w:szCs w:val="21"/>
                <w:lang w:eastAsia="zh-CN"/>
              </w:rPr>
            </w:pPr>
            <w:r>
              <w:rPr>
                <w:rFonts w:hint="eastAsia"/>
                <w:color w:val="000000"/>
                <w:sz w:val="21"/>
                <w:szCs w:val="21"/>
              </w:rPr>
              <w:t>履职</w:t>
            </w:r>
          </w:p>
          <w:p>
            <w:pPr>
              <w:pStyle w:val="4"/>
              <w:spacing w:before="0" w:beforeAutospacing="0" w:after="0" w:afterAutospacing="0" w:line="600" w:lineRule="exact"/>
              <w:jc w:val="center"/>
              <w:rPr>
                <w:sz w:val="21"/>
                <w:szCs w:val="21"/>
              </w:rPr>
            </w:pPr>
            <w:r>
              <w:rPr>
                <w:rFonts w:hint="eastAsia"/>
                <w:color w:val="000000"/>
                <w:sz w:val="21"/>
                <w:szCs w:val="21"/>
              </w:rPr>
              <w:t>效益(20分)</w:t>
            </w: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经济效益（5分）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部门履行职责对经济发展所带来的直接或间接影响。</w:t>
            </w:r>
          </w:p>
        </w:tc>
        <w:tc>
          <w:tcPr>
            <w:tcW w:w="5825" w:type="dxa"/>
            <w:tcBorders>
              <w:top w:val="nil"/>
              <w:left w:val="nil"/>
              <w:bottom w:val="single" w:color="auto" w:sz="4"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按经济效益实现程度计算得分（5分）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社会效益（5分）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部门履行职责对社会发展所带来的直接或间接影响。</w:t>
            </w:r>
          </w:p>
        </w:tc>
        <w:tc>
          <w:tcPr>
            <w:tcW w:w="5825" w:type="dxa"/>
            <w:tcBorders>
              <w:top w:val="single" w:color="auto" w:sz="4" w:space="0"/>
              <w:left w:val="nil"/>
              <w:bottom w:val="single" w:color="auto" w:sz="4" w:space="0"/>
              <w:right w:val="single" w:color="auto" w:sz="8" w:space="0"/>
            </w:tcBorders>
            <w:tcMar>
              <w:top w:w="10" w:type="dxa"/>
              <w:left w:w="10" w:type="dxa"/>
              <w:right w:w="10" w:type="dxa"/>
            </w:tcMar>
            <w:vAlign w:val="center"/>
          </w:tcPr>
          <w:p>
            <w:pPr>
              <w:spacing w:line="600" w:lineRule="exact"/>
              <w:ind w:left="315" w:hanging="315"/>
              <w:rPr>
                <w:rFonts w:ascii="宋体" w:hAnsi="宋体" w:cs="宋体"/>
                <w:color w:val="000000"/>
                <w:sz w:val="15"/>
                <w:szCs w:val="15"/>
              </w:rPr>
            </w:pPr>
            <w:r>
              <w:rPr>
                <w:rFonts w:hint="eastAsia" w:ascii="宋体" w:hAnsi="宋体" w:cs="宋体"/>
                <w:color w:val="000000"/>
                <w:szCs w:val="21"/>
              </w:rPr>
              <w:t>按社会效益实现程度计算得分（5分）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315" w:hanging="315"/>
              <w:jc w:val="center"/>
              <w:rPr>
                <w:rFonts w:ascii="宋体" w:hAnsi="宋体" w:cs="宋体"/>
                <w:color w:val="000000"/>
                <w:kern w:val="0"/>
                <w:szCs w:val="21"/>
              </w:rPr>
            </w:pPr>
            <w:r>
              <w:rPr>
                <w:rFonts w:hint="eastAsia" w:ascii="宋体" w:hAnsi="宋体" w:cs="宋体"/>
                <w:color w:val="000000"/>
                <w:kern w:val="0"/>
                <w:szCs w:val="21"/>
              </w:rPr>
              <w:t>行政效能</w:t>
            </w:r>
          </w:p>
          <w:p>
            <w:pPr>
              <w:spacing w:line="600" w:lineRule="exact"/>
              <w:ind w:left="315" w:hanging="315"/>
              <w:jc w:val="center"/>
              <w:rPr>
                <w:rFonts w:ascii="宋体" w:hAnsi="宋体" w:cs="宋体"/>
                <w:color w:val="000000"/>
                <w:kern w:val="0"/>
                <w:szCs w:val="21"/>
              </w:rPr>
            </w:pPr>
            <w:r>
              <w:rPr>
                <w:rFonts w:hint="eastAsia" w:ascii="宋体" w:hAnsi="宋体" w:cs="宋体"/>
                <w:color w:val="000000"/>
                <w:kern w:val="0"/>
                <w:szCs w:val="21"/>
              </w:rPr>
              <w:t>（5分）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color w:val="000000"/>
                <w:sz w:val="21"/>
                <w:szCs w:val="21"/>
              </w:rPr>
            </w:pPr>
            <w:r>
              <w:rPr>
                <w:rFonts w:hint="eastAsia"/>
                <w:color w:val="000000"/>
                <w:sz w:val="21"/>
                <w:szCs w:val="21"/>
              </w:rPr>
              <w:t>促进部门改进文风会风，加强经费及资产管理，推动网上办事，提高行政效率。</w:t>
            </w:r>
          </w:p>
        </w:tc>
        <w:tc>
          <w:tcPr>
            <w:tcW w:w="5825" w:type="dxa"/>
            <w:tcBorders>
              <w:top w:val="single" w:color="auto" w:sz="4" w:space="0"/>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color w:val="000000"/>
                <w:sz w:val="21"/>
                <w:szCs w:val="21"/>
              </w:rPr>
            </w:pPr>
            <w:r>
              <w:rPr>
                <w:rFonts w:hint="eastAsia"/>
                <w:color w:val="000000"/>
                <w:sz w:val="21"/>
                <w:szCs w:val="21"/>
              </w:rPr>
              <w:t>降低行政成本效果较好的计6分；一般3分；无效果或者效果不明显0分。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704"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line="600" w:lineRule="exact"/>
              <w:ind w:left="225" w:hanging="225"/>
              <w:rPr>
                <w:rFonts w:ascii="宋体" w:hAnsi="宋体" w:cs="宋体"/>
                <w:color w:val="000000"/>
                <w:sz w:val="15"/>
                <w:szCs w:val="15"/>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社会公众</w:t>
            </w:r>
          </w:p>
          <w:p>
            <w:pPr>
              <w:pStyle w:val="4"/>
              <w:spacing w:before="0" w:beforeAutospacing="0" w:after="0" w:afterAutospacing="0" w:line="600" w:lineRule="exact"/>
              <w:jc w:val="center"/>
              <w:rPr>
                <w:sz w:val="21"/>
                <w:szCs w:val="21"/>
              </w:rPr>
            </w:pPr>
            <w:r>
              <w:rPr>
                <w:rFonts w:hint="eastAsia"/>
                <w:color w:val="000000"/>
                <w:sz w:val="21"/>
                <w:szCs w:val="21"/>
              </w:rPr>
              <w:t>或服务对</w:t>
            </w:r>
          </w:p>
          <w:p>
            <w:pPr>
              <w:pStyle w:val="4"/>
              <w:spacing w:before="0" w:beforeAutospacing="0" w:after="0" w:afterAutospacing="0" w:line="600" w:lineRule="exact"/>
              <w:jc w:val="center"/>
              <w:rPr>
                <w:sz w:val="21"/>
                <w:szCs w:val="21"/>
              </w:rPr>
            </w:pPr>
            <w:r>
              <w:rPr>
                <w:rFonts w:hint="eastAsia"/>
                <w:color w:val="000000"/>
                <w:sz w:val="21"/>
                <w:szCs w:val="21"/>
              </w:rPr>
              <w:t>象满意度（5分）</w:t>
            </w: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社会公众或部门的服务对象对部门履职效果的满意程度。</w:t>
            </w: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sz w:val="18"/>
                <w:szCs w:val="18"/>
              </w:rPr>
              <w:t>90%</w:t>
            </w:r>
            <w:r>
              <w:rPr>
                <w:rFonts w:hint="eastAsia"/>
                <w:color w:val="000000"/>
                <w:sz w:val="21"/>
                <w:szCs w:val="21"/>
              </w:rPr>
              <w:t>（含）以上计5分；80%（含）-90%，计4分；70%（含）-80%，计3分；60%（含）-70%，计2分；低于60%计0分。</w:t>
            </w: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5</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nil"/>
              <w:right w:val="single" w:color="auto" w:sz="8" w:space="0"/>
            </w:tcBorders>
            <w:vAlign w:val="center"/>
          </w:tcPr>
          <w:p>
            <w:pPr>
              <w:pStyle w:val="4"/>
              <w:spacing w:before="0" w:beforeAutospacing="0" w:after="0" w:afterAutospacing="0" w:line="600" w:lineRule="exact"/>
              <w:jc w:val="center"/>
              <w:rPr>
                <w:sz w:val="21"/>
                <w:szCs w:val="21"/>
              </w:rPr>
            </w:pPr>
            <w:r>
              <w:rPr>
                <w:rFonts w:hint="eastAsia"/>
                <w:color w:val="000000"/>
                <w:sz w:val="21"/>
                <w:szCs w:val="21"/>
              </w:rPr>
              <w:t>总分</w:t>
            </w:r>
          </w:p>
        </w:tc>
        <w:tc>
          <w:tcPr>
            <w:tcW w:w="704" w:type="dxa"/>
            <w:tcBorders>
              <w:top w:val="nil"/>
              <w:left w:val="nil"/>
              <w:bottom w:val="nil"/>
              <w:right w:val="single" w:color="auto" w:sz="8" w:space="0"/>
            </w:tcBorders>
            <w:vAlign w:val="center"/>
          </w:tcPr>
          <w:p>
            <w:pPr>
              <w:pStyle w:val="4"/>
              <w:spacing w:before="0" w:beforeAutospacing="0" w:after="0" w:afterAutospacing="0" w:line="600" w:lineRule="exact"/>
              <w:jc w:val="center"/>
              <w:rPr>
                <w:sz w:val="21"/>
                <w:szCs w:val="21"/>
              </w:rPr>
            </w:pPr>
            <w:r>
              <w:rPr>
                <w:rFonts w:hint="eastAsia"/>
                <w:color w:val="000000"/>
                <w:sz w:val="21"/>
                <w:szCs w:val="21"/>
              </w:rPr>
              <w:t>100</w:t>
            </w:r>
          </w:p>
        </w:tc>
        <w:tc>
          <w:tcPr>
            <w:tcW w:w="960" w:type="dxa"/>
            <w:tcBorders>
              <w:top w:val="nil"/>
              <w:left w:val="nil"/>
              <w:bottom w:val="nil"/>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sz w:val="21"/>
                <w:szCs w:val="21"/>
              </w:rPr>
            </w:pPr>
            <w:r>
              <w:rPr>
                <w:rFonts w:hint="eastAsia"/>
                <w:color w:val="000000"/>
                <w:sz w:val="21"/>
                <w:szCs w:val="21"/>
              </w:rPr>
              <w:t>100　</w:t>
            </w:r>
          </w:p>
        </w:tc>
        <w:tc>
          <w:tcPr>
            <w:tcW w:w="5340" w:type="dxa"/>
            <w:tcBorders>
              <w:top w:val="nil"/>
              <w:left w:val="nil"/>
              <w:bottom w:val="nil"/>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sz w:val="21"/>
                <w:szCs w:val="21"/>
              </w:rPr>
            </w:pPr>
            <w:r>
              <w:rPr>
                <w:rFonts w:hint="eastAsia"/>
                <w:color w:val="000000"/>
                <w:sz w:val="21"/>
                <w:szCs w:val="21"/>
              </w:rPr>
              <w:t> </w:t>
            </w:r>
          </w:p>
        </w:tc>
        <w:tc>
          <w:tcPr>
            <w:tcW w:w="5825" w:type="dxa"/>
            <w:tcBorders>
              <w:top w:val="nil"/>
              <w:left w:val="nil"/>
              <w:bottom w:val="nil"/>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sz w:val="21"/>
                <w:szCs w:val="21"/>
              </w:rPr>
            </w:pPr>
            <w:r>
              <w:rPr>
                <w:rFonts w:hint="eastAsia"/>
                <w:color w:val="000000"/>
                <w:sz w:val="21"/>
                <w:szCs w:val="21"/>
              </w:rPr>
              <w:t> </w:t>
            </w:r>
          </w:p>
        </w:tc>
        <w:tc>
          <w:tcPr>
            <w:tcW w:w="768" w:type="dxa"/>
            <w:tcBorders>
              <w:top w:val="nil"/>
              <w:left w:val="nil"/>
              <w:bottom w:val="nil"/>
              <w:right w:val="single" w:color="auto" w:sz="8" w:space="0"/>
            </w:tcBorders>
            <w:vAlign w:val="center"/>
          </w:tcPr>
          <w:p>
            <w:pPr>
              <w:pStyle w:val="4"/>
              <w:tabs>
                <w:tab w:val="left" w:pos="2604"/>
              </w:tabs>
              <w:spacing w:before="0" w:beforeAutospacing="0" w:after="0" w:afterAutospacing="0" w:line="600" w:lineRule="exact"/>
              <w:jc w:val="center"/>
              <w:rPr>
                <w:rFonts w:eastAsia="宋体"/>
              </w:rPr>
            </w:pPr>
            <w:r>
              <w:rPr>
                <w:rFonts w:hint="eastAsia"/>
              </w:rPr>
              <w:t>96</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single" w:color="auto" w:sz="8" w:space="0"/>
              <w:right w:val="single" w:color="auto" w:sz="8" w:space="0"/>
            </w:tcBorders>
            <w:vAlign w:val="center"/>
          </w:tcPr>
          <w:p>
            <w:pPr>
              <w:pStyle w:val="4"/>
              <w:spacing w:before="0" w:beforeAutospacing="0" w:after="0" w:afterAutospacing="0" w:line="600" w:lineRule="exact"/>
              <w:rPr>
                <w:color w:val="000000"/>
                <w:sz w:val="21"/>
                <w:szCs w:val="21"/>
              </w:rPr>
            </w:pPr>
          </w:p>
        </w:tc>
        <w:tc>
          <w:tcPr>
            <w:tcW w:w="704" w:type="dxa"/>
            <w:tcBorders>
              <w:top w:val="nil"/>
              <w:left w:val="nil"/>
              <w:bottom w:val="single" w:color="auto" w:sz="8" w:space="0"/>
              <w:right w:val="single" w:color="auto" w:sz="8" w:space="0"/>
            </w:tcBorders>
            <w:vAlign w:val="center"/>
          </w:tcPr>
          <w:p>
            <w:pPr>
              <w:pStyle w:val="4"/>
              <w:spacing w:before="0" w:beforeAutospacing="0" w:after="0" w:afterAutospacing="0" w:line="600" w:lineRule="exact"/>
              <w:jc w:val="center"/>
              <w:rPr>
                <w:color w:val="000000"/>
                <w:sz w:val="21"/>
                <w:szCs w:val="21"/>
              </w:rPr>
            </w:pPr>
          </w:p>
        </w:tc>
        <w:tc>
          <w:tcPr>
            <w:tcW w:w="960"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center"/>
              <w:rPr>
                <w:color w:val="000000"/>
                <w:sz w:val="21"/>
                <w:szCs w:val="21"/>
              </w:rPr>
            </w:pPr>
          </w:p>
        </w:tc>
        <w:tc>
          <w:tcPr>
            <w:tcW w:w="5340" w:type="dxa"/>
            <w:tcBorders>
              <w:top w:val="nil"/>
              <w:left w:val="nil"/>
              <w:bottom w:val="single" w:color="auto" w:sz="8" w:space="0"/>
              <w:right w:val="single" w:color="auto" w:sz="8" w:space="0"/>
            </w:tcBorders>
            <w:tcMar>
              <w:top w:w="10" w:type="dxa"/>
              <w:left w:w="10" w:type="dxa"/>
              <w:right w:w="10" w:type="dxa"/>
            </w:tcMar>
            <w:vAlign w:val="center"/>
          </w:tcPr>
          <w:p>
            <w:pPr>
              <w:pStyle w:val="4"/>
              <w:tabs>
                <w:tab w:val="left" w:pos="2604"/>
              </w:tabs>
              <w:spacing w:before="0" w:beforeAutospacing="0" w:after="0" w:afterAutospacing="0" w:line="600" w:lineRule="exact"/>
              <w:jc w:val="both"/>
              <w:rPr>
                <w:color w:val="000000"/>
                <w:sz w:val="21"/>
                <w:szCs w:val="21"/>
              </w:rPr>
            </w:pPr>
          </w:p>
        </w:tc>
        <w:tc>
          <w:tcPr>
            <w:tcW w:w="5825" w:type="dxa"/>
            <w:tcBorders>
              <w:top w:val="nil"/>
              <w:left w:val="nil"/>
              <w:bottom w:val="single" w:color="auto" w:sz="8" w:space="0"/>
              <w:right w:val="single" w:color="auto" w:sz="8" w:space="0"/>
            </w:tcBorders>
            <w:tcMar>
              <w:top w:w="10" w:type="dxa"/>
              <w:left w:w="10" w:type="dxa"/>
              <w:right w:w="10" w:type="dxa"/>
            </w:tcMar>
            <w:vAlign w:val="center"/>
          </w:tcPr>
          <w:p>
            <w:pPr>
              <w:pStyle w:val="4"/>
              <w:spacing w:before="0" w:beforeAutospacing="0" w:after="0" w:afterAutospacing="0" w:line="600" w:lineRule="exact"/>
              <w:jc w:val="both"/>
              <w:rPr>
                <w:color w:val="000000"/>
                <w:sz w:val="21"/>
                <w:szCs w:val="21"/>
              </w:rPr>
            </w:pPr>
          </w:p>
        </w:tc>
        <w:tc>
          <w:tcPr>
            <w:tcW w:w="768" w:type="dxa"/>
            <w:tcBorders>
              <w:top w:val="nil"/>
              <w:left w:val="nil"/>
              <w:bottom w:val="single" w:color="auto" w:sz="8" w:space="0"/>
              <w:right w:val="single" w:color="auto" w:sz="8" w:space="0"/>
            </w:tcBorders>
            <w:vAlign w:val="center"/>
          </w:tcPr>
          <w:p>
            <w:pPr>
              <w:pStyle w:val="4"/>
              <w:tabs>
                <w:tab w:val="left" w:pos="2604"/>
              </w:tabs>
              <w:spacing w:before="0" w:beforeAutospacing="0" w:after="0" w:afterAutospacing="0" w:line="600" w:lineRule="exact"/>
              <w:jc w:val="center"/>
            </w:pPr>
          </w:p>
        </w:tc>
      </w:tr>
    </w:tbl>
    <w:p>
      <w:pPr>
        <w:widowControl/>
        <w:spacing w:line="600" w:lineRule="exact"/>
        <w:ind w:left="147" w:hanging="147" w:hangingChars="46"/>
        <w:rPr>
          <w:rFonts w:ascii="仿宋" w:hAnsi="仿宋" w:eastAsia="仿宋"/>
          <w:sz w:val="32"/>
          <w:szCs w:val="32"/>
        </w:rPr>
      </w:pPr>
    </w:p>
    <w:p>
      <w:pPr>
        <w:jc w:val="center"/>
        <w:rPr>
          <w:rFonts w:eastAsia="方正小标宋_GBK"/>
          <w:sz w:val="36"/>
          <w:szCs w:val="36"/>
        </w:rPr>
        <w:sectPr>
          <w:pgSz w:w="16838" w:h="11906" w:orient="landscape"/>
          <w:pgMar w:top="720" w:right="720" w:bottom="720" w:left="720" w:header="851" w:footer="992" w:gutter="0"/>
          <w:cols w:space="425" w:num="1"/>
          <w:docGrid w:type="linesAndChars" w:linePitch="312" w:charSpace="0"/>
        </w:sectPr>
      </w:pPr>
    </w:p>
    <w:p>
      <w:pPr>
        <w:widowControl/>
        <w:shd w:val="clear" w:color="auto" w:fill="FFFFFF"/>
        <w:spacing w:line="600" w:lineRule="atLeast"/>
        <w:jc w:val="left"/>
        <w:rPr>
          <w:rFonts w:ascii="仿宋" w:hAnsi="仿宋" w:eastAsia="仿宋" w:cs="仿宋"/>
          <w:color w:val="1E1E1E"/>
          <w:kern w:val="0"/>
          <w:sz w:val="32"/>
          <w:szCs w:val="32"/>
          <w:shd w:val="clear" w:color="auto" w:fill="FFFFFF"/>
        </w:rPr>
      </w:pP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A5523"/>
    <w:multiLevelType w:val="singleLevel"/>
    <w:tmpl w:val="00BA5523"/>
    <w:lvl w:ilvl="0" w:tentative="0">
      <w:start w:val="2"/>
      <w:numFmt w:val="chineseCounting"/>
      <w:suff w:val="nothing"/>
      <w:lvlText w:val="（%1）"/>
      <w:lvlJc w:val="left"/>
      <w:pPr>
        <w:ind w:left="3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NjRjZGViZWVhMzdmNzhlYmU5MTM3MGM4YjYwNWMifQ=="/>
  </w:docVars>
  <w:rsids>
    <w:rsidRoot w:val="00000000"/>
    <w:rsid w:val="19ED66F3"/>
    <w:rsid w:val="48AF7E4F"/>
    <w:rsid w:val="4D3B0E9B"/>
    <w:rsid w:val="5CCE6A36"/>
    <w:rsid w:val="78575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7446</Words>
  <Characters>8394</Characters>
  <Lines>0</Lines>
  <Paragraphs>0</Paragraphs>
  <TotalTime>1</TotalTime>
  <ScaleCrop>false</ScaleCrop>
  <LinksUpToDate>false</LinksUpToDate>
  <CharactersWithSpaces>8408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2021-10-27T07:39:00Z</dcterms:created>
  <dc:creator>Administrator</dc:creator>
  <cp:lastModifiedBy>朱亚林</cp:lastModifiedBy>
  <dcterms:modified xsi:type="dcterms:W3CDTF">2022-10-17T15:35:24Z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6CCAF09080864DC38EA89D5F92C53E8D</vt:lpwstr>
  </property>
</Properties>
</file>